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0E72" w14:textId="6BE40167" w:rsidR="002554F7" w:rsidRPr="002554F7" w:rsidRDefault="002554F7" w:rsidP="002554F7">
      <w:pPr>
        <w:pStyle w:val="NormalWeb"/>
        <w:shd w:val="clear" w:color="auto" w:fill="FEFEFE"/>
        <w:spacing w:before="0" w:beforeAutospacing="0" w:after="360" w:afterAutospacing="0"/>
        <w:jc w:val="center"/>
        <w:rPr>
          <w:rFonts w:ascii="Helvetica" w:hAnsi="Helvetica"/>
          <w:color w:val="444444"/>
          <w:sz w:val="28"/>
          <w:szCs w:val="28"/>
        </w:rPr>
      </w:pPr>
      <w:r w:rsidRPr="002554F7">
        <w:rPr>
          <w:rFonts w:ascii="Helvetica" w:hAnsi="Helvetica"/>
          <w:color w:val="444444"/>
          <w:sz w:val="28"/>
          <w:szCs w:val="28"/>
        </w:rPr>
        <w:t>InfraCap MLP ETF (NYSE Arca: AMZA) Tax Update</w:t>
      </w:r>
    </w:p>
    <w:p w14:paraId="4353F658" w14:textId="0799CAA0" w:rsidR="00964AF4" w:rsidRPr="000046D8" w:rsidRDefault="00964AF4" w:rsidP="000046D8">
      <w:pPr>
        <w:pStyle w:val="NormalWeb"/>
        <w:shd w:val="clear" w:color="auto" w:fill="FEFEFE"/>
        <w:spacing w:before="0" w:beforeAutospacing="0" w:after="360" w:afterAutospacing="0"/>
        <w:rPr>
          <w:rFonts w:ascii="Helvetica" w:hAnsi="Helvetica"/>
          <w:color w:val="444444"/>
        </w:rPr>
      </w:pPr>
      <w:r w:rsidRPr="00964AF4">
        <w:rPr>
          <w:rFonts w:ascii="Helvetica" w:hAnsi="Helvetica"/>
          <w:color w:val="444444"/>
        </w:rPr>
        <w:t>NEW YORK--(</w:t>
      </w:r>
      <w:hyperlink r:id="rId9" w:tgtFrame="_blank" w:history="1">
        <w:r w:rsidRPr="00964AF4">
          <w:rPr>
            <w:rFonts w:ascii="Helvetica" w:hAnsi="Helvetica"/>
            <w:color w:val="444444"/>
          </w:rPr>
          <w:t>BUSINESS WIRE</w:t>
        </w:r>
      </w:hyperlink>
      <w:r w:rsidRPr="00964AF4">
        <w:rPr>
          <w:rFonts w:ascii="Helvetica" w:hAnsi="Helvetica"/>
          <w:color w:val="444444"/>
        </w:rPr>
        <w:t xml:space="preserve">)--InfraCap MLP ETF (NYSE Arca: AMZA or the “Fund”) has modified the estimate of its deferred tax liability based on </w:t>
      </w:r>
      <w:r w:rsidR="007E0945">
        <w:rPr>
          <w:rFonts w:ascii="Helvetica" w:hAnsi="Helvetica"/>
          <w:color w:val="444444"/>
        </w:rPr>
        <w:t xml:space="preserve">changes in its valuation allowance offsetting capital losses. Changes in the valuation allowance are based on sales and to some extent on </w:t>
      </w:r>
      <w:r w:rsidRPr="00964AF4">
        <w:rPr>
          <w:rFonts w:ascii="Helvetica" w:hAnsi="Helvetica"/>
          <w:color w:val="444444"/>
        </w:rPr>
        <w:t xml:space="preserve">the </w:t>
      </w:r>
      <w:r w:rsidR="00136802">
        <w:rPr>
          <w:rFonts w:ascii="Helvetica" w:hAnsi="Helvetica"/>
          <w:color w:val="444444"/>
        </w:rPr>
        <w:t xml:space="preserve">information reported by the </w:t>
      </w:r>
      <w:r w:rsidRPr="00964AF4">
        <w:rPr>
          <w:rFonts w:ascii="Helvetica" w:hAnsi="Helvetica"/>
          <w:color w:val="444444"/>
        </w:rPr>
        <w:t>Master Limited Partnerships (MLPs)</w:t>
      </w:r>
      <w:r w:rsidR="007E0945">
        <w:rPr>
          <w:rFonts w:ascii="Helvetica" w:hAnsi="Helvetica"/>
          <w:color w:val="444444"/>
        </w:rPr>
        <w:t>. The Fund</w:t>
      </w:r>
      <w:r w:rsidRPr="00964AF4">
        <w:rPr>
          <w:rFonts w:ascii="Helvetica" w:hAnsi="Helvetica"/>
          <w:color w:val="444444"/>
        </w:rPr>
        <w:t xml:space="preserve"> </w:t>
      </w:r>
      <w:r w:rsidR="008B6044">
        <w:rPr>
          <w:rFonts w:ascii="Helvetica" w:hAnsi="Helvetica"/>
          <w:color w:val="444444"/>
        </w:rPr>
        <w:t>r</w:t>
      </w:r>
      <w:r w:rsidRPr="00964AF4">
        <w:rPr>
          <w:rFonts w:ascii="Helvetica" w:hAnsi="Helvetica"/>
          <w:color w:val="444444"/>
        </w:rPr>
        <w:t>ecord</w:t>
      </w:r>
      <w:r w:rsidR="00136802">
        <w:rPr>
          <w:rFonts w:ascii="Helvetica" w:hAnsi="Helvetica"/>
          <w:color w:val="444444"/>
        </w:rPr>
        <w:t>ed</w:t>
      </w:r>
      <w:r w:rsidRPr="00964AF4">
        <w:rPr>
          <w:rFonts w:ascii="Helvetica" w:hAnsi="Helvetica"/>
          <w:color w:val="444444"/>
        </w:rPr>
        <w:t xml:space="preserve"> a</w:t>
      </w:r>
      <w:r w:rsidR="00136802">
        <w:rPr>
          <w:rFonts w:ascii="Helvetica" w:hAnsi="Helvetica"/>
          <w:color w:val="444444"/>
        </w:rPr>
        <w:t xml:space="preserve"> </w:t>
      </w:r>
      <w:r w:rsidR="00BA494E">
        <w:rPr>
          <w:rFonts w:ascii="Helvetica" w:hAnsi="Helvetica"/>
          <w:color w:val="444444"/>
        </w:rPr>
        <w:t xml:space="preserve">reduction to the </w:t>
      </w:r>
      <w:r w:rsidR="00136802">
        <w:rPr>
          <w:rFonts w:ascii="Helvetica" w:hAnsi="Helvetica"/>
          <w:color w:val="444444"/>
        </w:rPr>
        <w:t>tax</w:t>
      </w:r>
      <w:r w:rsidRPr="00964AF4">
        <w:rPr>
          <w:rFonts w:ascii="Helvetica" w:hAnsi="Helvetica"/>
          <w:color w:val="444444"/>
        </w:rPr>
        <w:t xml:space="preserve"> accrual of approximately $</w:t>
      </w:r>
      <w:r w:rsidR="005A4878">
        <w:rPr>
          <w:rFonts w:ascii="Helvetica" w:hAnsi="Helvetica"/>
          <w:color w:val="444444"/>
        </w:rPr>
        <w:t>2</w:t>
      </w:r>
      <w:r w:rsidR="00E36CFD">
        <w:rPr>
          <w:rFonts w:ascii="Helvetica" w:hAnsi="Helvetica"/>
          <w:color w:val="444444"/>
        </w:rPr>
        <w:t>.</w:t>
      </w:r>
      <w:r w:rsidR="005A4878">
        <w:rPr>
          <w:rFonts w:ascii="Helvetica" w:hAnsi="Helvetica"/>
          <w:color w:val="444444"/>
        </w:rPr>
        <w:t>0</w:t>
      </w:r>
      <w:r w:rsidRPr="00964AF4">
        <w:rPr>
          <w:rFonts w:ascii="Helvetica" w:hAnsi="Helvetica"/>
          <w:color w:val="444444"/>
        </w:rPr>
        <w:t xml:space="preserve"> million (approximately $0.</w:t>
      </w:r>
      <w:r w:rsidR="00C401A6">
        <w:rPr>
          <w:rFonts w:ascii="Helvetica" w:hAnsi="Helvetica"/>
          <w:color w:val="444444"/>
        </w:rPr>
        <w:t>21</w:t>
      </w:r>
      <w:r w:rsidRPr="00964AF4">
        <w:rPr>
          <w:rFonts w:ascii="Helvetica" w:hAnsi="Helvetica"/>
          <w:color w:val="444444"/>
        </w:rPr>
        <w:t xml:space="preserve"> per share)</w:t>
      </w:r>
      <w:r w:rsidR="00545694">
        <w:rPr>
          <w:rFonts w:ascii="Helvetica" w:hAnsi="Helvetica"/>
          <w:color w:val="444444"/>
        </w:rPr>
        <w:t>, which will increase</w:t>
      </w:r>
      <w:r w:rsidRPr="00964AF4">
        <w:rPr>
          <w:rFonts w:ascii="Helvetica" w:hAnsi="Helvetica"/>
          <w:color w:val="444444"/>
        </w:rPr>
        <w:t xml:space="preserve"> the net asset value of the Fund on </w:t>
      </w:r>
      <w:r w:rsidR="00FF43AD">
        <w:rPr>
          <w:rFonts w:ascii="Helvetica" w:hAnsi="Helvetica"/>
          <w:color w:val="444444"/>
        </w:rPr>
        <w:t>June</w:t>
      </w:r>
      <w:r w:rsidR="00136802">
        <w:rPr>
          <w:rFonts w:ascii="Helvetica" w:hAnsi="Helvetica"/>
          <w:color w:val="444444"/>
        </w:rPr>
        <w:t xml:space="preserve"> 2</w:t>
      </w:r>
      <w:r w:rsidR="00FF43AD">
        <w:rPr>
          <w:rFonts w:ascii="Helvetica" w:hAnsi="Helvetica"/>
          <w:color w:val="444444"/>
        </w:rPr>
        <w:t>2</w:t>
      </w:r>
      <w:r w:rsidRPr="00964AF4">
        <w:rPr>
          <w:rFonts w:ascii="Helvetica" w:hAnsi="Helvetica"/>
          <w:color w:val="444444"/>
        </w:rPr>
        <w:t>, 202</w:t>
      </w:r>
      <w:r w:rsidR="00136802">
        <w:rPr>
          <w:rFonts w:ascii="Helvetica" w:hAnsi="Helvetica"/>
          <w:color w:val="444444"/>
        </w:rPr>
        <w:t>6</w:t>
      </w:r>
      <w:r w:rsidRPr="00964AF4">
        <w:rPr>
          <w:rFonts w:ascii="Helvetica" w:hAnsi="Helvetica"/>
          <w:color w:val="444444"/>
        </w:rPr>
        <w:t>.</w:t>
      </w:r>
      <w:r w:rsidR="00300BF7">
        <w:rPr>
          <w:rFonts w:ascii="Helvetica" w:hAnsi="Helvetica"/>
          <w:color w:val="444444"/>
        </w:rPr>
        <w:t xml:space="preserve"> As part of the tax accrual adjustment, the Fund’s deferred tax liability has decreased.</w:t>
      </w:r>
    </w:p>
    <w:p w14:paraId="7D440C42" w14:textId="13B9A095" w:rsidR="000046D8" w:rsidRPr="000046D8" w:rsidRDefault="000046D8" w:rsidP="000046D8">
      <w:pPr>
        <w:pStyle w:val="NormalWeb"/>
        <w:shd w:val="clear" w:color="auto" w:fill="FEFEFE"/>
        <w:spacing w:before="0" w:beforeAutospacing="0" w:after="360" w:afterAutospacing="0"/>
        <w:rPr>
          <w:rFonts w:ascii="Helvetica" w:hAnsi="Helvetica"/>
          <w:color w:val="444444"/>
        </w:rPr>
      </w:pPr>
      <w:r w:rsidRPr="000046D8">
        <w:rPr>
          <w:rFonts w:ascii="Helvetica" w:hAnsi="Helvetica"/>
          <w:color w:val="444444"/>
        </w:rPr>
        <w:t>From time to time, the Adviser will modify the estimates or assumptions regarding the Fund’s deferred tax</w:t>
      </w:r>
      <w:r w:rsidR="007050A7">
        <w:rPr>
          <w:rFonts w:ascii="Helvetica" w:hAnsi="Helvetica"/>
          <w:color w:val="444444"/>
        </w:rPr>
        <w:t xml:space="preserve">es and valuation allowances </w:t>
      </w:r>
      <w:r w:rsidRPr="000046D8">
        <w:rPr>
          <w:rFonts w:ascii="Helvetica" w:hAnsi="Helvetica"/>
          <w:color w:val="444444"/>
        </w:rPr>
        <w:t>as new information becomes available and may consider, among other matters, the duration of statutory carryforward periods, shareholder transactions, market conditions</w:t>
      </w:r>
      <w:r w:rsidR="007050A7">
        <w:rPr>
          <w:rFonts w:ascii="Helvetica" w:hAnsi="Helvetica"/>
          <w:color w:val="444444"/>
        </w:rPr>
        <w:t>, and information provided by the MLPs, which may not be provided to the Fund on timely basis</w:t>
      </w:r>
      <w:r w:rsidRPr="000046D8">
        <w:rPr>
          <w:rFonts w:ascii="Helvetica" w:hAnsi="Helvetica"/>
          <w:color w:val="444444"/>
        </w:rPr>
        <w:t>. The Fund’s estimates regarding its deferred tax liability are made in good faith; however, the daily estimate of the Fund’s deferred tax liability used to calculate the Fund’s NAV could vary significantly from the Fund’s actual tax liability.</w:t>
      </w:r>
    </w:p>
    <w:p w14:paraId="702FA698" w14:textId="66E489AE" w:rsidR="00686365" w:rsidRDefault="002554F7" w:rsidP="00686365">
      <w:pPr>
        <w:pStyle w:val="NormalWeb"/>
        <w:shd w:val="clear" w:color="auto" w:fill="FEFEFE"/>
        <w:spacing w:before="0" w:beforeAutospacing="0" w:after="360" w:afterAutospacing="0"/>
        <w:rPr>
          <w:rFonts w:ascii="Helvetica" w:hAnsi="Helvetica"/>
          <w:color w:val="444444"/>
        </w:rPr>
      </w:pPr>
      <w:r>
        <w:rPr>
          <w:rFonts w:ascii="Helvetica" w:hAnsi="Helvetica"/>
          <w:color w:val="444444"/>
        </w:rPr>
        <w:t>D</w:t>
      </w:r>
      <w:r w:rsidR="00686365">
        <w:rPr>
          <w:rFonts w:ascii="Helvetica" w:hAnsi="Helvetica"/>
          <w:color w:val="444444"/>
        </w:rPr>
        <w:t>irect any inquiries to</w:t>
      </w:r>
      <w:r>
        <w:rPr>
          <w:rFonts w:ascii="Helvetica" w:hAnsi="Helvetica"/>
          <w:color w:val="444444"/>
        </w:rPr>
        <w:t xml:space="preserve"> </w:t>
      </w:r>
      <w:hyperlink r:id="rId10" w:history="1">
        <w:r w:rsidR="000046D8" w:rsidRPr="000046D8">
          <w:rPr>
            <w:rStyle w:val="Hyperlink"/>
            <w:rFonts w:ascii="Helvetica" w:hAnsi="Helvetica"/>
          </w:rPr>
          <w:t>info@virtus.com</w:t>
        </w:r>
      </w:hyperlink>
      <w:r w:rsidR="000046D8">
        <w:rPr>
          <w:rFonts w:ascii="Helvetica" w:hAnsi="Helvetica"/>
          <w:color w:val="444444"/>
        </w:rPr>
        <w:t xml:space="preserve"> </w:t>
      </w:r>
      <w:r w:rsidR="00686365">
        <w:rPr>
          <w:rFonts w:ascii="Helvetica" w:hAnsi="Helvetica"/>
          <w:color w:val="444444"/>
        </w:rPr>
        <w:t>or by calling 1-888-383-0553.</w:t>
      </w:r>
    </w:p>
    <w:p w14:paraId="6F1710B3" w14:textId="77777777" w:rsidR="00686365" w:rsidRDefault="00686365" w:rsidP="00686365">
      <w:pPr>
        <w:pStyle w:val="NormalWeb"/>
        <w:shd w:val="clear" w:color="auto" w:fill="FEFEFE"/>
        <w:spacing w:before="0" w:beforeAutospacing="0" w:after="360" w:afterAutospacing="0"/>
        <w:rPr>
          <w:rFonts w:ascii="Helvetica" w:hAnsi="Helvetica"/>
          <w:color w:val="444444"/>
        </w:rPr>
      </w:pPr>
      <w:r>
        <w:rPr>
          <w:rFonts w:ascii="Helvetica" w:hAnsi="Helvetica"/>
          <w:color w:val="444444"/>
        </w:rPr>
        <w:t>Important Disclosures</w:t>
      </w:r>
    </w:p>
    <w:p w14:paraId="36379949" w14:textId="51D7980C" w:rsidR="000046D8" w:rsidRPr="000046D8" w:rsidRDefault="000046D8" w:rsidP="00686365">
      <w:pPr>
        <w:pStyle w:val="NormalWeb"/>
        <w:shd w:val="clear" w:color="auto" w:fill="FEFEFE"/>
        <w:spacing w:before="0" w:beforeAutospacing="0" w:after="360" w:afterAutospacing="0"/>
        <w:rPr>
          <w:rFonts w:ascii="Helvetica" w:hAnsi="Helvetica"/>
          <w:b/>
          <w:bCs/>
          <w:color w:val="444444"/>
        </w:rPr>
      </w:pPr>
      <w:r w:rsidRPr="000046D8">
        <w:rPr>
          <w:rFonts w:ascii="Helvetica" w:hAnsi="Helvetica"/>
          <w:b/>
          <w:bCs/>
          <w:color w:val="444444"/>
        </w:rPr>
        <w:t xml:space="preserve">Please consider the investment objectives, risks, charges and expenses of the Fund carefully before investing. The prospectus contains this and other information about the Fund. Contact us at 1-888-383-0553 </w:t>
      </w:r>
      <w:r>
        <w:rPr>
          <w:rFonts w:ascii="Helvetica" w:hAnsi="Helvetica"/>
          <w:b/>
          <w:bCs/>
          <w:color w:val="444444"/>
        </w:rPr>
        <w:t xml:space="preserve">or visit </w:t>
      </w:r>
      <w:hyperlink r:id="rId11" w:history="1">
        <w:r w:rsidRPr="000046D8">
          <w:rPr>
            <w:rStyle w:val="Hyperlink"/>
            <w:rFonts w:ascii="Helvetica" w:hAnsi="Helvetica"/>
            <w:b/>
            <w:bCs/>
          </w:rPr>
          <w:t>virtus.com</w:t>
        </w:r>
      </w:hyperlink>
      <w:r>
        <w:rPr>
          <w:rFonts w:ascii="Helvetica" w:hAnsi="Helvetica"/>
          <w:b/>
          <w:bCs/>
          <w:color w:val="444444"/>
        </w:rPr>
        <w:t xml:space="preserve"> for</w:t>
      </w:r>
      <w:r w:rsidRPr="000046D8">
        <w:rPr>
          <w:rFonts w:ascii="Helvetica" w:hAnsi="Helvetica"/>
          <w:b/>
          <w:bCs/>
          <w:color w:val="444444"/>
        </w:rPr>
        <w:t xml:space="preserve"> a copy of the Fund's prospectus. Read the prospectus carefully before you invest or send money.</w:t>
      </w:r>
    </w:p>
    <w:p w14:paraId="0E050BA3" w14:textId="77777777" w:rsidR="00686365" w:rsidRDefault="00686365" w:rsidP="00686365">
      <w:pPr>
        <w:pStyle w:val="NormalWeb"/>
        <w:shd w:val="clear" w:color="auto" w:fill="FEFEFE"/>
        <w:spacing w:before="0" w:beforeAutospacing="0" w:after="360" w:afterAutospacing="0"/>
        <w:rPr>
          <w:rFonts w:ascii="Helvetica" w:hAnsi="Helvetica"/>
          <w:color w:val="444444"/>
        </w:rPr>
      </w:pPr>
      <w:r>
        <w:rPr>
          <w:rFonts w:ascii="Helvetica" w:hAnsi="Helvetica"/>
          <w:b/>
          <w:bCs/>
          <w:color w:val="444444"/>
        </w:rPr>
        <w:t>IMPORTANT RISK CONSIDERATIONS</w:t>
      </w:r>
    </w:p>
    <w:p w14:paraId="3E3D1893" w14:textId="1EF34E61" w:rsidR="00686365" w:rsidRPr="00686365" w:rsidRDefault="00686365" w:rsidP="00686365">
      <w:pPr>
        <w:pStyle w:val="NormalWeb"/>
        <w:shd w:val="clear" w:color="auto" w:fill="FFFFFF"/>
        <w:spacing w:before="0" w:after="0"/>
        <w:textAlignment w:val="baseline"/>
        <w:rPr>
          <w:rFonts w:ascii="Segoe UI" w:eastAsia="Times New Roman" w:hAnsi="Segoe UI" w:cs="Segoe UI"/>
          <w:color w:val="2B2B2B"/>
        </w:rPr>
      </w:pPr>
      <w:r>
        <w:rPr>
          <w:rFonts w:ascii="Helvetica" w:hAnsi="Helvetica"/>
          <w:b/>
          <w:bCs/>
          <w:color w:val="444444"/>
        </w:rPr>
        <w:t>Exchange-Traded Funds (ETF)</w:t>
      </w:r>
      <w:r>
        <w:rPr>
          <w:rFonts w:ascii="Helvetica" w:hAnsi="Helvetica"/>
          <w:color w:val="444444"/>
        </w:rPr>
        <w:t>: The value of an ETF may be more volat</w:t>
      </w:r>
      <w:r w:rsidRPr="00686365">
        <w:rPr>
          <w:rFonts w:ascii="Segoe UI" w:eastAsia="Times New Roman" w:hAnsi="Segoe UI" w:cs="Segoe UI"/>
          <w:color w:val="2B2B2B"/>
        </w:rPr>
        <w:t xml:space="preserve">ile than the underlying portfolio of securities it is designed to track. The costs </w:t>
      </w:r>
      <w:proofErr w:type="gramStart"/>
      <w:r w:rsidRPr="00686365">
        <w:rPr>
          <w:rFonts w:ascii="Segoe UI" w:eastAsia="Times New Roman" w:hAnsi="Segoe UI" w:cs="Segoe UI"/>
          <w:color w:val="2B2B2B"/>
        </w:rPr>
        <w:t>to</w:t>
      </w:r>
      <w:proofErr w:type="gramEnd"/>
      <w:r w:rsidRPr="00686365">
        <w:rPr>
          <w:rFonts w:ascii="Segoe UI" w:eastAsia="Times New Roman" w:hAnsi="Segoe UI" w:cs="Segoe UI"/>
          <w:color w:val="2B2B2B"/>
        </w:rPr>
        <w:t xml:space="preserve"> the fund of owning shares of </w:t>
      </w:r>
      <w:proofErr w:type="gramStart"/>
      <w:r w:rsidRPr="00686365">
        <w:rPr>
          <w:rFonts w:ascii="Segoe UI" w:eastAsia="Times New Roman" w:hAnsi="Segoe UI" w:cs="Segoe UI"/>
          <w:color w:val="2B2B2B"/>
        </w:rPr>
        <w:t>an ETF</w:t>
      </w:r>
      <w:proofErr w:type="gramEnd"/>
      <w:r w:rsidRPr="00686365">
        <w:rPr>
          <w:rFonts w:ascii="Segoe UI" w:eastAsia="Times New Roman" w:hAnsi="Segoe UI" w:cs="Segoe UI"/>
          <w:color w:val="2B2B2B"/>
        </w:rPr>
        <w:t xml:space="preserve"> may exceed the cost of investing directly in the underlying securities.</w:t>
      </w:r>
      <w:r w:rsidR="002554F7">
        <w:rPr>
          <w:rFonts w:ascii="Segoe UI" w:eastAsia="Times New Roman" w:hAnsi="Segoe UI" w:cs="Segoe UI"/>
          <w:color w:val="2B2B2B"/>
        </w:rPr>
        <w:t xml:space="preserve"> </w:t>
      </w:r>
      <w:r w:rsidRPr="00686365">
        <w:rPr>
          <w:rFonts w:ascii="Segoe UI" w:eastAsia="Times New Roman" w:hAnsi="Segoe UI" w:cs="Segoe UI"/>
          <w:b/>
          <w:bCs/>
          <w:color w:val="2B2B2B"/>
          <w:bdr w:val="none" w:sz="0" w:space="0" w:color="auto" w:frame="1"/>
        </w:rPr>
        <w:t>Master Limited Partnerships</w:t>
      </w:r>
      <w:r w:rsidRPr="00686365">
        <w:rPr>
          <w:rFonts w:ascii="Segoe UI" w:eastAsia="Times New Roman" w:hAnsi="Segoe UI" w:cs="Segoe UI"/>
          <w:color w:val="2B2B2B"/>
        </w:rPr>
        <w:t>: Investments in MLPs may be adversely impacted by interest rates, tax law changes, regulation, or factors affecting underlying assets.</w:t>
      </w:r>
      <w:r w:rsidR="002554F7">
        <w:rPr>
          <w:rFonts w:ascii="Segoe UI" w:eastAsia="Times New Roman" w:hAnsi="Segoe UI" w:cs="Segoe UI"/>
          <w:color w:val="2B2B2B"/>
        </w:rPr>
        <w:t xml:space="preserve"> </w:t>
      </w:r>
      <w:r w:rsidRPr="00686365">
        <w:rPr>
          <w:rFonts w:ascii="Segoe UI" w:eastAsia="Times New Roman" w:hAnsi="Segoe UI" w:cs="Segoe UI"/>
          <w:b/>
          <w:bCs/>
          <w:color w:val="2B2B2B"/>
          <w:bdr w:val="none" w:sz="0" w:space="0" w:color="auto" w:frame="1"/>
        </w:rPr>
        <w:t>Energy Industry Concentration</w:t>
      </w:r>
      <w:r w:rsidRPr="00686365">
        <w:rPr>
          <w:rFonts w:ascii="Segoe UI" w:eastAsia="Times New Roman" w:hAnsi="Segoe UI" w:cs="Segoe UI"/>
          <w:color w:val="2B2B2B"/>
        </w:rPr>
        <w:t>: The portfolio’s investments are concentrated in the energy industry and presents greater risks than if the portfolio was broadly diversified over numerous sectors of the economy.</w:t>
      </w:r>
      <w:r w:rsidR="002554F7">
        <w:rPr>
          <w:rFonts w:ascii="Segoe UI" w:eastAsia="Times New Roman" w:hAnsi="Segoe UI" w:cs="Segoe UI"/>
          <w:color w:val="2B2B2B"/>
        </w:rPr>
        <w:t xml:space="preserve"> </w:t>
      </w:r>
      <w:r w:rsidRPr="00686365">
        <w:rPr>
          <w:rFonts w:ascii="Segoe UI" w:eastAsia="Times New Roman" w:hAnsi="Segoe UI" w:cs="Segoe UI"/>
          <w:b/>
          <w:bCs/>
          <w:color w:val="2B2B2B"/>
          <w:bdr w:val="none" w:sz="0" w:space="0" w:color="auto" w:frame="1"/>
        </w:rPr>
        <w:t>Leverage</w:t>
      </w:r>
      <w:r w:rsidRPr="00686365">
        <w:rPr>
          <w:rFonts w:ascii="Segoe UI" w:eastAsia="Times New Roman" w:hAnsi="Segoe UI" w:cs="Segoe UI"/>
          <w:color w:val="2B2B2B"/>
        </w:rPr>
        <w:t xml:space="preserve">: When a portfolio is leveraged, the value of its securities may be more </w:t>
      </w:r>
      <w:proofErr w:type="gramStart"/>
      <w:r w:rsidRPr="00686365">
        <w:rPr>
          <w:rFonts w:ascii="Segoe UI" w:eastAsia="Times New Roman" w:hAnsi="Segoe UI" w:cs="Segoe UI"/>
          <w:color w:val="2B2B2B"/>
        </w:rPr>
        <w:t>volatile</w:t>
      </w:r>
      <w:proofErr w:type="gramEnd"/>
      <w:r w:rsidRPr="00686365">
        <w:rPr>
          <w:rFonts w:ascii="Segoe UI" w:eastAsia="Times New Roman" w:hAnsi="Segoe UI" w:cs="Segoe UI"/>
          <w:color w:val="2B2B2B"/>
        </w:rPr>
        <w:t xml:space="preserve"> and all other risks may be compounded.</w:t>
      </w:r>
      <w:r w:rsidR="002554F7">
        <w:rPr>
          <w:rFonts w:ascii="Segoe UI" w:eastAsia="Times New Roman" w:hAnsi="Segoe UI" w:cs="Segoe UI"/>
          <w:color w:val="2B2B2B"/>
        </w:rPr>
        <w:t xml:space="preserve"> </w:t>
      </w:r>
      <w:r w:rsidRPr="00686365">
        <w:rPr>
          <w:rFonts w:ascii="Segoe UI" w:eastAsia="Times New Roman" w:hAnsi="Segoe UI" w:cs="Segoe UI"/>
          <w:b/>
          <w:bCs/>
          <w:color w:val="2B2B2B"/>
          <w:bdr w:val="none" w:sz="0" w:space="0" w:color="auto" w:frame="1"/>
        </w:rPr>
        <w:t>Options</w:t>
      </w:r>
      <w:r w:rsidRPr="00686365">
        <w:rPr>
          <w:rFonts w:ascii="Segoe UI" w:eastAsia="Times New Roman" w:hAnsi="Segoe UI" w:cs="Segoe UI"/>
          <w:color w:val="2B2B2B"/>
        </w:rPr>
        <w:t xml:space="preserve">: Selling call options may limit the opportunity to profit from the increase in price of the </w:t>
      </w:r>
      <w:r w:rsidRPr="00686365">
        <w:rPr>
          <w:rFonts w:ascii="Segoe UI" w:eastAsia="Times New Roman" w:hAnsi="Segoe UI" w:cs="Segoe UI"/>
          <w:color w:val="2B2B2B"/>
        </w:rPr>
        <w:lastRenderedPageBreak/>
        <w:t xml:space="preserve">underlying </w:t>
      </w:r>
      <w:proofErr w:type="gramStart"/>
      <w:r w:rsidRPr="00686365">
        <w:rPr>
          <w:rFonts w:ascii="Segoe UI" w:eastAsia="Times New Roman" w:hAnsi="Segoe UI" w:cs="Segoe UI"/>
          <w:color w:val="2B2B2B"/>
        </w:rPr>
        <w:t>asset</w:t>
      </w:r>
      <w:proofErr w:type="gramEnd"/>
      <w:r w:rsidRPr="00686365">
        <w:rPr>
          <w:rFonts w:ascii="Segoe UI" w:eastAsia="Times New Roman" w:hAnsi="Segoe UI" w:cs="Segoe UI"/>
          <w:color w:val="2B2B2B"/>
        </w:rPr>
        <w:t>. Selling put options risks loss if the option is exercised while the price of the underlying asset is rising. Buying options risks loss of the premium paid for those options.</w:t>
      </w:r>
      <w:r w:rsidR="002554F7">
        <w:rPr>
          <w:rFonts w:ascii="Segoe UI" w:eastAsia="Times New Roman" w:hAnsi="Segoe UI" w:cs="Segoe UI"/>
          <w:color w:val="2B2B2B"/>
        </w:rPr>
        <w:t xml:space="preserve"> </w:t>
      </w:r>
      <w:r w:rsidRPr="00686365">
        <w:rPr>
          <w:rFonts w:ascii="Segoe UI" w:eastAsia="Times New Roman" w:hAnsi="Segoe UI" w:cs="Segoe UI"/>
          <w:b/>
          <w:bCs/>
          <w:color w:val="2B2B2B"/>
          <w:bdr w:val="none" w:sz="0" w:space="0" w:color="auto" w:frame="1"/>
        </w:rPr>
        <w:t>Market Price/NAV</w:t>
      </w:r>
      <w:r w:rsidRPr="00686365">
        <w:rPr>
          <w:rFonts w:ascii="Segoe UI" w:eastAsia="Times New Roman" w:hAnsi="Segoe UI" w:cs="Segoe UI"/>
          <w:color w:val="2B2B2B"/>
        </w:rPr>
        <w:t>: At the time of purchase and/or sale, an investor’s shares may have a market price that is above or below the Fund’s NAV, which may increase the investor’s risk of loss.</w:t>
      </w:r>
      <w:r w:rsidR="002554F7">
        <w:rPr>
          <w:rFonts w:ascii="Segoe UI" w:eastAsia="Times New Roman" w:hAnsi="Segoe UI" w:cs="Segoe UI"/>
          <w:color w:val="2B2B2B"/>
        </w:rPr>
        <w:t xml:space="preserve"> </w:t>
      </w:r>
      <w:r w:rsidRPr="00686365">
        <w:rPr>
          <w:rFonts w:ascii="Segoe UI" w:eastAsia="Times New Roman" w:hAnsi="Segoe UI" w:cs="Segoe UI"/>
          <w:b/>
          <w:bCs/>
          <w:color w:val="2B2B2B"/>
          <w:bdr w:val="none" w:sz="0" w:space="0" w:color="auto" w:frame="1"/>
        </w:rPr>
        <w:t>Market Volatility</w:t>
      </w:r>
      <w:r w:rsidRPr="00686365">
        <w:rPr>
          <w:rFonts w:ascii="Segoe UI" w:eastAsia="Times New Roman" w:hAnsi="Segoe UI" w:cs="Segoe UI"/>
          <w:color w:val="2B2B2B"/>
        </w:rPr>
        <w:t>: The value of the securities in the portfolio may go up or down in response to the prospects of individual companies and/or general economic conditions. Local, regional, or global events such as war, terrorism, pandemic, or recession could impact the portfolio, including hampering the ability of the portfolio’s manager(s) to invest its assets as intended.</w:t>
      </w:r>
      <w:r w:rsidR="002554F7">
        <w:rPr>
          <w:rFonts w:ascii="Segoe UI" w:eastAsia="Times New Roman" w:hAnsi="Segoe UI" w:cs="Segoe UI"/>
          <w:color w:val="2B2B2B"/>
        </w:rPr>
        <w:t xml:space="preserve"> </w:t>
      </w:r>
      <w:r w:rsidRPr="00686365">
        <w:rPr>
          <w:rFonts w:ascii="Segoe UI" w:eastAsia="Times New Roman" w:hAnsi="Segoe UI" w:cs="Segoe UI"/>
          <w:b/>
          <w:bCs/>
          <w:color w:val="2B2B2B"/>
          <w:bdr w:val="none" w:sz="0" w:space="0" w:color="auto" w:frame="1"/>
        </w:rPr>
        <w:t>Prospectus</w:t>
      </w:r>
      <w:r w:rsidRPr="00686365">
        <w:rPr>
          <w:rFonts w:ascii="Segoe UI" w:eastAsia="Times New Roman" w:hAnsi="Segoe UI" w:cs="Segoe UI"/>
          <w:color w:val="2B2B2B"/>
        </w:rPr>
        <w:t>: For additional information on risks, please see the Fund’s prospectus.</w:t>
      </w:r>
    </w:p>
    <w:p w14:paraId="48E49A97" w14:textId="5357C313" w:rsidR="00686365" w:rsidRPr="00686365" w:rsidRDefault="00686365" w:rsidP="00686365">
      <w:pPr>
        <w:shd w:val="clear" w:color="auto" w:fill="FFFFFF"/>
        <w:spacing w:beforeAutospacing="1" w:after="0" w:afterAutospacing="1" w:line="240" w:lineRule="auto"/>
        <w:textAlignment w:val="baseline"/>
        <w:rPr>
          <w:rFonts w:ascii="Segoe UI" w:eastAsia="Times New Roman" w:hAnsi="Segoe UI" w:cs="Segoe UI"/>
          <w:color w:val="2B2B2B"/>
          <w:kern w:val="0"/>
          <w14:ligatures w14:val="none"/>
        </w:rPr>
      </w:pPr>
      <w:r w:rsidRPr="00686365">
        <w:rPr>
          <w:rFonts w:ascii="Segoe UI" w:eastAsia="Times New Roman" w:hAnsi="Segoe UI" w:cs="Segoe UI"/>
          <w:color w:val="2B2B2B"/>
          <w:kern w:val="0"/>
          <w14:ligatures w14:val="none"/>
        </w:rPr>
        <w:t>MLPs taxed as partnerships generally do not pay</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bdr w:val="none" w:sz="0" w:space="0" w:color="auto" w:frame="1"/>
          <w14:ligatures w14:val="none"/>
        </w:rPr>
        <w:t>U.S.</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14:ligatures w14:val="none"/>
        </w:rPr>
        <w:t>federal income tax at the partnership level, subject to the application of certain partnership audit rules. Rather, each partner is allocated a share of the MLP’s income, gains, losses, deductions and expenses. A change in current tax law, or a change in the underlying business mix of a given MLP, could result in an MLP being treated as a corporation for</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bdr w:val="none" w:sz="0" w:space="0" w:color="auto" w:frame="1"/>
          <w14:ligatures w14:val="none"/>
        </w:rPr>
        <w:t>U.S.</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14:ligatures w14:val="none"/>
        </w:rPr>
        <w:t>federal income tax purposes, which would result in such MLP being required to pay</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bdr w:val="none" w:sz="0" w:space="0" w:color="auto" w:frame="1"/>
          <w14:ligatures w14:val="none"/>
        </w:rPr>
        <w:t>U.S.</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14:ligatures w14:val="none"/>
        </w:rPr>
        <w:t>federal income tax on its taxable income. The classification of an MLP as a corporation for</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bdr w:val="none" w:sz="0" w:space="0" w:color="auto" w:frame="1"/>
          <w14:ligatures w14:val="none"/>
        </w:rPr>
        <w:t>U.S.</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14:ligatures w14:val="none"/>
        </w:rPr>
        <w:t>federal income tax purposes would have the effect of reducing the amount of cash available for distribution by the MLP. Thus, if any of the MLPs owned by the Fund were treated as corporations for</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bdr w:val="none" w:sz="0" w:space="0" w:color="auto" w:frame="1"/>
          <w14:ligatures w14:val="none"/>
        </w:rPr>
        <w:t>U.S.</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14:ligatures w14:val="none"/>
        </w:rPr>
        <w:t>federal income tax purposes, it could result in a reduction in the value of your investment in the Fund and lower income.</w:t>
      </w:r>
    </w:p>
    <w:p w14:paraId="050B6EDF" w14:textId="77777777" w:rsidR="00686365" w:rsidRPr="00686365" w:rsidRDefault="00686365" w:rsidP="00686365">
      <w:pPr>
        <w:shd w:val="clear" w:color="auto" w:fill="FFFFFF"/>
        <w:spacing w:before="100" w:beforeAutospacing="1" w:after="100" w:afterAutospacing="1" w:line="240" w:lineRule="auto"/>
        <w:textAlignment w:val="baseline"/>
        <w:rPr>
          <w:rFonts w:ascii="Segoe UI" w:eastAsia="Times New Roman" w:hAnsi="Segoe UI" w:cs="Segoe UI"/>
          <w:color w:val="2B2B2B"/>
          <w:kern w:val="0"/>
          <w14:ligatures w14:val="none"/>
        </w:rPr>
      </w:pPr>
      <w:r w:rsidRPr="00686365">
        <w:rPr>
          <w:rFonts w:ascii="Segoe UI" w:eastAsia="Times New Roman" w:hAnsi="Segoe UI" w:cs="Segoe UI"/>
          <w:color w:val="2B2B2B"/>
          <w:kern w:val="0"/>
          <w14:ligatures w14:val="none"/>
        </w:rPr>
        <w:t>The Fund is classified for federal income tax purposes as a taxable regular corporation or so-called Subchapter “C” corporation. As a “C” corporation, the Fund accrues deferred tax liability for its future tax liability associated with the capital appreciation of its investments and the distributions received by the Fund on equity securities of master limited partnerships considered to be a return of capital and for any net operating gains. The Fund’s accrued deferred tax liability, if any, is reflected each day in the Fund’s net asset value per share. The deferred income tax expense/(benefit) represents an estimate of the Fund’s potential tax expense/(benefit) if it were to recognize the unrealized gains/ (losses) in the portfolio. An estimate of deferred income tax expense/(benefit) is dependent upon the Fund’s net investment income/(loss) and realized and unrealized gains/(losses) on investments and such expenses may vary greatly from year to year and from day to day depending on the nature of the Fund’s investments, the performance of those investments and general market conditions. Therefore, any estimate of deferred income tax expense/(benefit) cannot be reliably predicted from year to year.</w:t>
      </w:r>
    </w:p>
    <w:p w14:paraId="22A91696" w14:textId="7C44CE66" w:rsidR="00686365" w:rsidRPr="00686365" w:rsidRDefault="00686365" w:rsidP="00686365">
      <w:pPr>
        <w:shd w:val="clear" w:color="auto" w:fill="FFFFFF"/>
        <w:spacing w:beforeAutospacing="1" w:after="0" w:afterAutospacing="1" w:line="240" w:lineRule="auto"/>
        <w:textAlignment w:val="baseline"/>
        <w:rPr>
          <w:rFonts w:ascii="Segoe UI" w:eastAsia="Times New Roman" w:hAnsi="Segoe UI" w:cs="Segoe UI"/>
          <w:color w:val="2B2B2B"/>
          <w:kern w:val="0"/>
          <w14:ligatures w14:val="none"/>
        </w:rPr>
      </w:pPr>
      <w:r w:rsidRPr="00686365">
        <w:rPr>
          <w:rFonts w:ascii="Segoe UI" w:eastAsia="Times New Roman" w:hAnsi="Segoe UI" w:cs="Segoe UI"/>
          <w:b/>
          <w:bCs/>
          <w:color w:val="2B2B2B"/>
          <w:kern w:val="0"/>
          <w:bdr w:val="none" w:sz="0" w:space="0" w:color="auto" w:frame="1"/>
          <w14:ligatures w14:val="none"/>
        </w:rPr>
        <w:t>Not insured by</w:t>
      </w:r>
      <w:r w:rsidR="002554F7">
        <w:rPr>
          <w:rFonts w:ascii="Segoe UI" w:eastAsia="Times New Roman" w:hAnsi="Segoe UI" w:cs="Segoe UI"/>
          <w:b/>
          <w:bCs/>
          <w:color w:val="2B2B2B"/>
          <w:kern w:val="0"/>
          <w:bdr w:val="none" w:sz="0" w:space="0" w:color="auto" w:frame="1"/>
          <w14:ligatures w14:val="none"/>
        </w:rPr>
        <w:t xml:space="preserve"> </w:t>
      </w:r>
      <w:r w:rsidRPr="00686365">
        <w:rPr>
          <w:rFonts w:ascii="Segoe UI" w:eastAsia="Times New Roman" w:hAnsi="Segoe UI" w:cs="Segoe UI"/>
          <w:b/>
          <w:bCs/>
          <w:color w:val="2B2B2B"/>
          <w:kern w:val="0"/>
          <w:bdr w:val="none" w:sz="0" w:space="0" w:color="auto" w:frame="1"/>
          <w14:ligatures w14:val="none"/>
        </w:rPr>
        <w:t>FDIC/NCUSIF or any federal government agency. No bank guarantee. Not a deposit. May lose value.</w:t>
      </w:r>
    </w:p>
    <w:p w14:paraId="4BD44D76" w14:textId="37551DAC" w:rsidR="00686365" w:rsidRPr="00686365" w:rsidRDefault="00686365" w:rsidP="00686365">
      <w:pPr>
        <w:shd w:val="clear" w:color="auto" w:fill="FFFFFF"/>
        <w:spacing w:beforeAutospacing="1" w:after="0" w:afterAutospacing="1" w:line="240" w:lineRule="auto"/>
        <w:textAlignment w:val="baseline"/>
        <w:rPr>
          <w:rFonts w:ascii="Segoe UI" w:eastAsia="Times New Roman" w:hAnsi="Segoe UI" w:cs="Segoe UI"/>
          <w:color w:val="2B2B2B"/>
          <w:kern w:val="0"/>
          <w14:ligatures w14:val="none"/>
        </w:rPr>
      </w:pPr>
      <w:r w:rsidRPr="00686365">
        <w:rPr>
          <w:rFonts w:ascii="Segoe UI" w:eastAsia="Times New Roman" w:hAnsi="Segoe UI" w:cs="Segoe UI"/>
          <w:color w:val="2B2B2B"/>
          <w:kern w:val="0"/>
          <w14:ligatures w14:val="none"/>
        </w:rPr>
        <w:lastRenderedPageBreak/>
        <w:t>ETFs distributed by</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b/>
          <w:bCs/>
          <w:color w:val="2B2B2B"/>
          <w:kern w:val="0"/>
          <w:bdr w:val="none" w:sz="0" w:space="0" w:color="auto" w:frame="1"/>
          <w14:ligatures w14:val="none"/>
        </w:rPr>
        <w:t>VP</w:t>
      </w:r>
      <w:r w:rsidR="002554F7">
        <w:rPr>
          <w:rFonts w:ascii="Segoe UI" w:eastAsia="Times New Roman" w:hAnsi="Segoe UI" w:cs="Segoe UI"/>
          <w:b/>
          <w:bCs/>
          <w:color w:val="2B2B2B"/>
          <w:kern w:val="0"/>
          <w:bdr w:val="none" w:sz="0" w:space="0" w:color="auto" w:frame="1"/>
          <w14:ligatures w14:val="none"/>
        </w:rPr>
        <w:t xml:space="preserve"> </w:t>
      </w:r>
      <w:r w:rsidRPr="00686365">
        <w:rPr>
          <w:rFonts w:ascii="Segoe UI" w:eastAsia="Times New Roman" w:hAnsi="Segoe UI" w:cs="Segoe UI"/>
          <w:b/>
          <w:bCs/>
          <w:color w:val="2B2B2B"/>
          <w:kern w:val="0"/>
          <w:bdr w:val="none" w:sz="0" w:space="0" w:color="auto" w:frame="1"/>
          <w14:ligatures w14:val="none"/>
        </w:rPr>
        <w:t>Distributors, LLC</w:t>
      </w:r>
      <w:r w:rsidRPr="00686365">
        <w:rPr>
          <w:rFonts w:ascii="Segoe UI" w:eastAsia="Times New Roman" w:hAnsi="Segoe UI" w:cs="Segoe UI"/>
          <w:color w:val="2B2B2B"/>
          <w:kern w:val="0"/>
          <w14:ligatures w14:val="none"/>
        </w:rPr>
        <w:t>, member</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bdr w:val="none" w:sz="0" w:space="0" w:color="auto" w:frame="1"/>
          <w14:ligatures w14:val="none"/>
        </w:rPr>
        <w:t>FINRA</w:t>
      </w:r>
      <w:r w:rsidR="002554F7">
        <w:rPr>
          <w:rFonts w:ascii="Segoe UI" w:eastAsia="Times New Roman" w:hAnsi="Segoe UI" w:cs="Segoe UI"/>
          <w:color w:val="2B2B2B"/>
          <w:kern w:val="0"/>
          <w14:ligatures w14:val="none"/>
        </w:rPr>
        <w:t xml:space="preserve"> </w:t>
      </w:r>
      <w:r w:rsidRPr="00686365">
        <w:rPr>
          <w:rFonts w:ascii="Segoe UI" w:eastAsia="Times New Roman" w:hAnsi="Segoe UI" w:cs="Segoe UI"/>
          <w:color w:val="2B2B2B"/>
          <w:kern w:val="0"/>
          <w14:ligatures w14:val="none"/>
        </w:rPr>
        <w:t>and subsidiary of Virtus Investment Partners, Inc.</w:t>
      </w:r>
    </w:p>
    <w:p w14:paraId="61A32A4E" w14:textId="040BF8F0" w:rsidR="000046D8" w:rsidRDefault="00686365" w:rsidP="00686365">
      <w:pPr>
        <w:shd w:val="clear" w:color="auto" w:fill="FFFFFF"/>
        <w:spacing w:beforeAutospacing="1" w:after="0" w:afterAutospacing="1" w:line="240" w:lineRule="auto"/>
        <w:textAlignment w:val="baseline"/>
        <w:rPr>
          <w:rFonts w:ascii="Segoe UI" w:eastAsia="Times New Roman" w:hAnsi="Segoe UI" w:cs="Segoe UI"/>
          <w:color w:val="2B2B2B"/>
          <w:kern w:val="0"/>
          <w:lang w:val="it-IT"/>
          <w14:ligatures w14:val="none"/>
        </w:rPr>
      </w:pPr>
      <w:r w:rsidRPr="002554F7">
        <w:rPr>
          <w:rFonts w:ascii="Segoe UI" w:eastAsia="Times New Roman" w:hAnsi="Segoe UI" w:cs="Segoe UI"/>
          <w:b/>
          <w:bCs/>
          <w:color w:val="2B2B2B"/>
          <w:kern w:val="0"/>
          <w:bdr w:val="none" w:sz="0" w:space="0" w:color="auto" w:frame="1"/>
          <w:lang w:val="it-IT"/>
          <w14:ligatures w14:val="none"/>
        </w:rPr>
        <w:t>Media</w:t>
      </w:r>
      <w:r w:rsidRPr="002554F7">
        <w:rPr>
          <w:rFonts w:ascii="Segoe UI" w:eastAsia="Times New Roman" w:hAnsi="Segoe UI" w:cs="Segoe UI"/>
          <w:color w:val="2B2B2B"/>
          <w:kern w:val="0"/>
          <w:lang w:val="it-IT"/>
          <w14:ligatures w14:val="none"/>
        </w:rPr>
        <w:t>:</w:t>
      </w:r>
      <w:r w:rsidR="002554F7">
        <w:rPr>
          <w:rFonts w:ascii="Segoe UI" w:eastAsia="Times New Roman" w:hAnsi="Segoe UI" w:cs="Segoe UI"/>
          <w:color w:val="2B2B2B"/>
          <w:kern w:val="0"/>
          <w:lang w:val="it-IT"/>
          <w14:ligatures w14:val="none"/>
        </w:rPr>
        <w:t xml:space="preserve"> </w:t>
      </w:r>
      <w:r w:rsidR="000046D8">
        <w:rPr>
          <w:rFonts w:ascii="Segoe UI" w:eastAsia="Times New Roman" w:hAnsi="Segoe UI" w:cs="Segoe UI"/>
          <w:color w:val="2B2B2B"/>
          <w:kern w:val="0"/>
          <w:bdr w:val="none" w:sz="0" w:space="0" w:color="auto" w:frame="1"/>
          <w:lang w:val="it-IT"/>
          <w14:ligatures w14:val="none"/>
        </w:rPr>
        <w:t>Laura Parsons</w:t>
      </w:r>
      <w:r w:rsidR="002554F7">
        <w:rPr>
          <w:rFonts w:ascii="Segoe UI" w:eastAsia="Times New Roman" w:hAnsi="Segoe UI" w:cs="Segoe UI"/>
          <w:color w:val="2B2B2B"/>
          <w:kern w:val="0"/>
          <w:lang w:val="it-IT"/>
          <w14:ligatures w14:val="none"/>
        </w:rPr>
        <w:t xml:space="preserve"> </w:t>
      </w:r>
      <w:r w:rsidRPr="002554F7">
        <w:rPr>
          <w:rFonts w:ascii="Segoe UI" w:eastAsia="Times New Roman" w:hAnsi="Segoe UI" w:cs="Segoe UI"/>
          <w:color w:val="2B2B2B"/>
          <w:kern w:val="0"/>
          <w:lang w:val="it-IT"/>
          <w14:ligatures w14:val="none"/>
        </w:rPr>
        <w:t>860-263-4725</w:t>
      </w:r>
      <w:r w:rsidR="002554F7">
        <w:rPr>
          <w:rFonts w:ascii="Segoe UI" w:eastAsia="Times New Roman" w:hAnsi="Segoe UI" w:cs="Segoe UI"/>
          <w:color w:val="2B2B2B"/>
          <w:kern w:val="0"/>
          <w:lang w:val="it-IT"/>
          <w14:ligatures w14:val="none"/>
        </w:rPr>
        <w:t xml:space="preserve"> </w:t>
      </w:r>
      <w:hyperlink r:id="rId12" w:history="1">
        <w:r w:rsidR="000046D8" w:rsidRPr="00D928B9">
          <w:rPr>
            <w:rStyle w:val="Hyperlink"/>
            <w:rFonts w:ascii="Segoe UI" w:eastAsia="Times New Roman" w:hAnsi="Segoe UI" w:cs="Segoe UI"/>
            <w:kern w:val="0"/>
            <w:lang w:val="it-IT"/>
            <w14:ligatures w14:val="none"/>
          </w:rPr>
          <w:t>laura.parsons@virtus.com</w:t>
        </w:r>
      </w:hyperlink>
    </w:p>
    <w:p w14:paraId="729C29CE" w14:textId="58585881" w:rsidR="00686365" w:rsidRDefault="00686365" w:rsidP="00686365">
      <w:pPr>
        <w:pStyle w:val="NormalWeb"/>
        <w:shd w:val="clear" w:color="auto" w:fill="FEFEFE"/>
        <w:spacing w:before="0" w:beforeAutospacing="0" w:after="360" w:afterAutospacing="0"/>
        <w:rPr>
          <w:rFonts w:ascii="Helvetica" w:hAnsi="Helvetica"/>
          <w:color w:val="444444"/>
        </w:rPr>
      </w:pPr>
    </w:p>
    <w:p w14:paraId="1CA6DB5A" w14:textId="77777777" w:rsidR="00686365" w:rsidRDefault="00686365"/>
    <w:sectPr w:rsidR="00686365" w:rsidSect="0036101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08C6" w14:textId="77777777" w:rsidR="00A21C31" w:rsidRDefault="00A21C31" w:rsidP="00361017">
      <w:pPr>
        <w:spacing w:after="0" w:line="240" w:lineRule="auto"/>
      </w:pPr>
      <w:r>
        <w:separator/>
      </w:r>
    </w:p>
  </w:endnote>
  <w:endnote w:type="continuationSeparator" w:id="0">
    <w:p w14:paraId="7D08484A" w14:textId="77777777" w:rsidR="00A21C31" w:rsidRDefault="00A21C31" w:rsidP="0036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1F69" w14:textId="77777777" w:rsidR="00361017" w:rsidRDefault="00361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D637" w14:textId="77777777" w:rsidR="00361017" w:rsidRDefault="00361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0CF6" w14:textId="77777777" w:rsidR="00361017" w:rsidRDefault="00361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040E" w14:textId="77777777" w:rsidR="00A21C31" w:rsidRDefault="00A21C31" w:rsidP="00361017">
      <w:pPr>
        <w:spacing w:after="0" w:line="240" w:lineRule="auto"/>
      </w:pPr>
      <w:r>
        <w:separator/>
      </w:r>
    </w:p>
  </w:footnote>
  <w:footnote w:type="continuationSeparator" w:id="0">
    <w:p w14:paraId="56097664" w14:textId="77777777" w:rsidR="00A21C31" w:rsidRDefault="00A21C31" w:rsidP="00361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ADE8" w14:textId="77777777" w:rsidR="00361017" w:rsidRDefault="00361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09EF" w14:textId="3A7B1048" w:rsidR="00361017" w:rsidRDefault="00361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083F" w14:textId="265269EE" w:rsidR="00361017" w:rsidRDefault="00361017">
    <w:pPr>
      <w:pStyle w:val="Header"/>
    </w:pPr>
    <w:r>
      <w:rPr>
        <w:noProof/>
      </w:rPr>
      <w:drawing>
        <wp:inline distT="0" distB="0" distL="0" distR="0" wp14:anchorId="42B69ECF" wp14:editId="7DBF99C5">
          <wp:extent cx="1571625" cy="628650"/>
          <wp:effectExtent l="0" t="0" r="9525" b="0"/>
          <wp:docPr id="1807118640"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18640" name="Picture 1" descr="A blue and yellow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1625" cy="6286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686365"/>
    <w:rsid w:val="000046D8"/>
    <w:rsid w:val="0004427D"/>
    <w:rsid w:val="000A6156"/>
    <w:rsid w:val="000D5D70"/>
    <w:rsid w:val="00113ABF"/>
    <w:rsid w:val="0012312C"/>
    <w:rsid w:val="00136802"/>
    <w:rsid w:val="001C7F02"/>
    <w:rsid w:val="0023255D"/>
    <w:rsid w:val="002554F7"/>
    <w:rsid w:val="002F518A"/>
    <w:rsid w:val="00300BF7"/>
    <w:rsid w:val="003064D7"/>
    <w:rsid w:val="00322888"/>
    <w:rsid w:val="00361017"/>
    <w:rsid w:val="003E36B6"/>
    <w:rsid w:val="00436B84"/>
    <w:rsid w:val="004622C9"/>
    <w:rsid w:val="00490642"/>
    <w:rsid w:val="004C188D"/>
    <w:rsid w:val="004E7A4C"/>
    <w:rsid w:val="00511442"/>
    <w:rsid w:val="00512383"/>
    <w:rsid w:val="00545694"/>
    <w:rsid w:val="005931CA"/>
    <w:rsid w:val="005A4878"/>
    <w:rsid w:val="005F5788"/>
    <w:rsid w:val="006041E8"/>
    <w:rsid w:val="00686365"/>
    <w:rsid w:val="006F2E2E"/>
    <w:rsid w:val="006F40F0"/>
    <w:rsid w:val="007050A7"/>
    <w:rsid w:val="00733DEB"/>
    <w:rsid w:val="0074045D"/>
    <w:rsid w:val="007E0945"/>
    <w:rsid w:val="0085034E"/>
    <w:rsid w:val="00885C98"/>
    <w:rsid w:val="008931CE"/>
    <w:rsid w:val="008B6044"/>
    <w:rsid w:val="00907CB0"/>
    <w:rsid w:val="00907DB3"/>
    <w:rsid w:val="00923FDB"/>
    <w:rsid w:val="00964AF4"/>
    <w:rsid w:val="009E145E"/>
    <w:rsid w:val="00A21C31"/>
    <w:rsid w:val="00A3580C"/>
    <w:rsid w:val="00AA1140"/>
    <w:rsid w:val="00B41E58"/>
    <w:rsid w:val="00BA494E"/>
    <w:rsid w:val="00BD3CD3"/>
    <w:rsid w:val="00C10C51"/>
    <w:rsid w:val="00C12F9C"/>
    <w:rsid w:val="00C401A6"/>
    <w:rsid w:val="00C43BE7"/>
    <w:rsid w:val="00C7742C"/>
    <w:rsid w:val="00CB3752"/>
    <w:rsid w:val="00CC41D6"/>
    <w:rsid w:val="00D0612F"/>
    <w:rsid w:val="00DB04DD"/>
    <w:rsid w:val="00DB41DF"/>
    <w:rsid w:val="00DE4987"/>
    <w:rsid w:val="00E36CFD"/>
    <w:rsid w:val="00E6670F"/>
    <w:rsid w:val="00EF6590"/>
    <w:rsid w:val="00EF7B37"/>
    <w:rsid w:val="00F1064E"/>
    <w:rsid w:val="00FF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19AE"/>
  <w15:chartTrackingRefBased/>
  <w15:docId w15:val="{9289149C-A58A-4D35-80E4-FC3B2C9D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365"/>
    <w:rPr>
      <w:rFonts w:eastAsiaTheme="majorEastAsia" w:cstheme="majorBidi"/>
      <w:color w:val="272727" w:themeColor="text1" w:themeTint="D8"/>
    </w:rPr>
  </w:style>
  <w:style w:type="paragraph" w:styleId="Title">
    <w:name w:val="Title"/>
    <w:basedOn w:val="Normal"/>
    <w:next w:val="Normal"/>
    <w:link w:val="TitleChar"/>
    <w:uiPriority w:val="10"/>
    <w:qFormat/>
    <w:rsid w:val="00686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365"/>
    <w:pPr>
      <w:spacing w:before="160"/>
      <w:jc w:val="center"/>
    </w:pPr>
    <w:rPr>
      <w:i/>
      <w:iCs/>
      <w:color w:val="404040" w:themeColor="text1" w:themeTint="BF"/>
    </w:rPr>
  </w:style>
  <w:style w:type="character" w:customStyle="1" w:styleId="QuoteChar">
    <w:name w:val="Quote Char"/>
    <w:basedOn w:val="DefaultParagraphFont"/>
    <w:link w:val="Quote"/>
    <w:uiPriority w:val="29"/>
    <w:rsid w:val="00686365"/>
    <w:rPr>
      <w:i/>
      <w:iCs/>
      <w:color w:val="404040" w:themeColor="text1" w:themeTint="BF"/>
    </w:rPr>
  </w:style>
  <w:style w:type="paragraph" w:styleId="ListParagraph">
    <w:name w:val="List Paragraph"/>
    <w:basedOn w:val="Normal"/>
    <w:uiPriority w:val="34"/>
    <w:qFormat/>
    <w:rsid w:val="00686365"/>
    <w:pPr>
      <w:ind w:left="720"/>
      <w:contextualSpacing/>
    </w:pPr>
  </w:style>
  <w:style w:type="character" w:styleId="IntenseEmphasis">
    <w:name w:val="Intense Emphasis"/>
    <w:basedOn w:val="DefaultParagraphFont"/>
    <w:uiPriority w:val="21"/>
    <w:qFormat/>
    <w:rsid w:val="00686365"/>
    <w:rPr>
      <w:i/>
      <w:iCs/>
      <w:color w:val="0F4761" w:themeColor="accent1" w:themeShade="BF"/>
    </w:rPr>
  </w:style>
  <w:style w:type="paragraph" w:styleId="IntenseQuote">
    <w:name w:val="Intense Quote"/>
    <w:basedOn w:val="Normal"/>
    <w:next w:val="Normal"/>
    <w:link w:val="IntenseQuoteChar"/>
    <w:uiPriority w:val="30"/>
    <w:qFormat/>
    <w:rsid w:val="00686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365"/>
    <w:rPr>
      <w:i/>
      <w:iCs/>
      <w:color w:val="0F4761" w:themeColor="accent1" w:themeShade="BF"/>
    </w:rPr>
  </w:style>
  <w:style w:type="character" w:styleId="IntenseReference">
    <w:name w:val="Intense Reference"/>
    <w:basedOn w:val="DefaultParagraphFont"/>
    <w:uiPriority w:val="32"/>
    <w:qFormat/>
    <w:rsid w:val="00686365"/>
    <w:rPr>
      <w:b/>
      <w:bCs/>
      <w:smallCaps/>
      <w:color w:val="0F4761" w:themeColor="accent1" w:themeShade="BF"/>
      <w:spacing w:val="5"/>
    </w:rPr>
  </w:style>
  <w:style w:type="character" w:styleId="Hyperlink">
    <w:name w:val="Hyperlink"/>
    <w:basedOn w:val="DefaultParagraphFont"/>
    <w:uiPriority w:val="99"/>
    <w:unhideWhenUsed/>
    <w:rsid w:val="00686365"/>
    <w:rPr>
      <w:color w:val="0000FF"/>
      <w:u w:val="single"/>
    </w:rPr>
  </w:style>
  <w:style w:type="paragraph" w:styleId="NormalWeb">
    <w:name w:val="Normal (Web)"/>
    <w:basedOn w:val="Normal"/>
    <w:uiPriority w:val="99"/>
    <w:semiHidden/>
    <w:unhideWhenUsed/>
    <w:rsid w:val="00686365"/>
    <w:pPr>
      <w:spacing w:before="100" w:beforeAutospacing="1" w:after="100" w:afterAutospacing="1" w:line="240" w:lineRule="auto"/>
    </w:pPr>
    <w:rPr>
      <w:rFonts w:ascii="Aptos" w:hAnsi="Aptos" w:cs="Aptos"/>
      <w:kern w:val="0"/>
      <w14:ligatures w14:val="none"/>
    </w:rPr>
  </w:style>
  <w:style w:type="character" w:styleId="UnresolvedMention">
    <w:name w:val="Unresolved Mention"/>
    <w:basedOn w:val="DefaultParagraphFont"/>
    <w:uiPriority w:val="99"/>
    <w:semiHidden/>
    <w:unhideWhenUsed/>
    <w:rsid w:val="002554F7"/>
    <w:rPr>
      <w:color w:val="605E5C"/>
      <w:shd w:val="clear" w:color="auto" w:fill="E1DFDD"/>
    </w:rPr>
  </w:style>
  <w:style w:type="paragraph" w:styleId="Header">
    <w:name w:val="header"/>
    <w:basedOn w:val="Normal"/>
    <w:link w:val="HeaderChar"/>
    <w:uiPriority w:val="99"/>
    <w:unhideWhenUsed/>
    <w:rsid w:val="00361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017"/>
  </w:style>
  <w:style w:type="paragraph" w:styleId="Footer">
    <w:name w:val="footer"/>
    <w:basedOn w:val="Normal"/>
    <w:link w:val="FooterChar"/>
    <w:uiPriority w:val="99"/>
    <w:unhideWhenUsed/>
    <w:rsid w:val="00361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017"/>
  </w:style>
  <w:style w:type="paragraph" w:styleId="Revision">
    <w:name w:val="Revision"/>
    <w:hidden/>
    <w:uiPriority w:val="99"/>
    <w:semiHidden/>
    <w:rsid w:val="00D06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4251">
      <w:bodyDiv w:val="1"/>
      <w:marLeft w:val="0"/>
      <w:marRight w:val="0"/>
      <w:marTop w:val="0"/>
      <w:marBottom w:val="0"/>
      <w:divBdr>
        <w:top w:val="none" w:sz="0" w:space="0" w:color="auto"/>
        <w:left w:val="none" w:sz="0" w:space="0" w:color="auto"/>
        <w:bottom w:val="none" w:sz="0" w:space="0" w:color="auto"/>
        <w:right w:val="none" w:sz="0" w:space="0" w:color="auto"/>
      </w:divBdr>
    </w:div>
    <w:div w:id="680279280">
      <w:bodyDiv w:val="1"/>
      <w:marLeft w:val="0"/>
      <w:marRight w:val="0"/>
      <w:marTop w:val="0"/>
      <w:marBottom w:val="0"/>
      <w:divBdr>
        <w:top w:val="none" w:sz="0" w:space="0" w:color="auto"/>
        <w:left w:val="none" w:sz="0" w:space="0" w:color="auto"/>
        <w:bottom w:val="none" w:sz="0" w:space="0" w:color="auto"/>
        <w:right w:val="none" w:sz="0" w:space="0" w:color="auto"/>
      </w:divBdr>
    </w:div>
    <w:div w:id="7348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aura.parsons@virtu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ts.businesswire.com/ct/CT?id=smartlink&amp;url=http%3A%2F%2Fwww.virtus.com&amp;esheet=53967511&amp;newsitemid=20240429622668&amp;lan=en-US&amp;anchor=virtus.com&amp;index=1&amp;md5=15bff97e3624d0356abae5455ea5b09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virtus.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usinesswire.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4CC6F1408D24190B90988894C9AD8" ma:contentTypeVersion="13" ma:contentTypeDescription="Create a new document." ma:contentTypeScope="" ma:versionID="2ce2bbc926eac27ee71a31f03656688b">
  <xsd:schema xmlns:xsd="http://www.w3.org/2001/XMLSchema" xmlns:xs="http://www.w3.org/2001/XMLSchema" xmlns:p="http://schemas.microsoft.com/office/2006/metadata/properties" xmlns:ns3="aced641f-3c36-444a-8b8d-97c0618c49c1" targetNamespace="http://schemas.microsoft.com/office/2006/metadata/properties" ma:root="true" ma:fieldsID="61bff75df930244adca40cf8d5b0511b" ns3:_="">
    <xsd:import namespace="aced641f-3c36-444a-8b8d-97c0618c49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d641f-3c36-444a-8b8d-97c0618c4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ced641f-3c36-444a-8b8d-97c0618c49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96E78-8564-47D0-8A95-34BBC5EC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d641f-3c36-444a-8b8d-97c0618c4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FA746-E692-41BE-A533-4058673FA8A9}">
  <ds:schemaRefs>
    <ds:schemaRef ds:uri="http://schemas.microsoft.com/office/2006/metadata/properties"/>
    <ds:schemaRef ds:uri="http://schemas.microsoft.com/office/infopath/2007/PartnerControls"/>
    <ds:schemaRef ds:uri="aced641f-3c36-444a-8b8d-97c0618c49c1"/>
  </ds:schemaRefs>
</ds:datastoreItem>
</file>

<file path=customXml/itemProps3.xml><?xml version="1.0" encoding="utf-8"?>
<ds:datastoreItem xmlns:ds="http://schemas.openxmlformats.org/officeDocument/2006/customXml" ds:itemID="{7E20804F-6C8A-48A8-A6F1-768A3E015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5245</Characters>
  <Application>Microsoft Office Word</Application>
  <DocSecurity>0</DocSecurity>
  <Lines>80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Frith, Brinton</dc:creator>
  <cp:keywords/>
  <dc:description/>
  <cp:lastModifiedBy>Byra, Mary</cp:lastModifiedBy>
  <cp:revision>3</cp:revision>
  <dcterms:created xsi:type="dcterms:W3CDTF">2026-06-22T21:53:00Z</dcterms:created>
  <dcterms:modified xsi:type="dcterms:W3CDTF">2026-06-22T21:53:00Z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0x010100F894CC6F1408D24190B90988894C9AD8</vt:lpwstr>
  </property>
</Properties>
</file>