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Dear shareholders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In 2018, Intact Financial Corporation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(IFC) continued to grow, adapt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innovate to defi</w:t>
      </w:r>
      <w:r w:rsidRPr="00351841">
        <w:rPr>
          <w:rFonts w:ascii="Arial" w:hAnsi="Arial" w:cs="Arial"/>
        </w:rPr>
        <w:t>ne the future of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insurance, deliver second-to-none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experiences for our customers, and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help to build resilient communities.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success in 2018, and over the last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10 years, has been possible </w:t>
      </w:r>
      <w:proofErr w:type="spellStart"/>
      <w:r w:rsidRPr="00351841">
        <w:rPr>
          <w:rFonts w:ascii="Arial" w:hAnsi="Arial" w:cs="Arial"/>
        </w:rPr>
        <w:t>becauseof</w:t>
      </w:r>
      <w:proofErr w:type="spellEnd"/>
      <w:r w:rsidRPr="00351841">
        <w:rPr>
          <w:rFonts w:ascii="Arial" w:hAnsi="Arial" w:cs="Arial"/>
        </w:rPr>
        <w:t xml:space="preserve"> the foundation it is built on and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people who work here. As I write this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letter, we are celebrating our 10th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anniversary. I want to share with you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what has transpired in that time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why it matters.</w:t>
      </w:r>
    </w:p>
    <w:p w:rsid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Ten years ago, with the support of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employees, brokers and the fi</w:t>
      </w:r>
      <w:r w:rsidRPr="00351841">
        <w:rPr>
          <w:rFonts w:ascii="Arial" w:hAnsi="Arial" w:cs="Arial"/>
        </w:rPr>
        <w:t>nancial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markets, we raised $2.4 billion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parted ways with our majority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shareholder ING. We brought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leadership of property and casualty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(P&amp;C) insurance industry back to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Canada – establishing IFC as an</w:t>
      </w:r>
    </w:p>
    <w:p w:rsidR="00ED0AA9" w:rsidRPr="00351841" w:rsidRDefault="002A71DD" w:rsidP="002A71DD">
      <w:pPr>
        <w:rPr>
          <w:rFonts w:ascii="Arial" w:hAnsi="Arial" w:cs="Arial"/>
        </w:rPr>
      </w:pPr>
      <w:r w:rsidRPr="00351841">
        <w:rPr>
          <w:rFonts w:ascii="Arial" w:hAnsi="Arial" w:cs="Arial"/>
        </w:rPr>
        <w:t>independent, widely held company.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The fi</w:t>
      </w:r>
      <w:r w:rsidRPr="00351841">
        <w:rPr>
          <w:rFonts w:ascii="Arial" w:hAnsi="Arial" w:cs="Arial"/>
        </w:rPr>
        <w:t>nancial crisis was at its peak –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status quo was not an option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had to move with lightning speed.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excitement was palpable, and it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worked – because we created a company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based on values and a belief that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insurance is about people, not things.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People needed to know who we were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what we stood for. Within days of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transaction we announced our name,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colours and our values, and we used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those to transform the organization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make it what it is today.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brands are now among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most recognized insurance brands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Canada – a testament to our focus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 getting customers back on track. We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have doubled the number of employees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to 14,000, become a best employer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attracted a diverse and talented group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people. Our strategy – to deliver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exceptional customer service, engage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employees and earn the right to</w:t>
      </w:r>
    </w:p>
    <w:p w:rsidR="002A71DD" w:rsidRDefault="002A71DD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be one of the most respected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companies – has delivered strong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returns for our shareholders.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Over the last decade, organic growth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six major acquisitions have driven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 10% CAGR in Direct Premiums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Written (DPW)</w:t>
      </w:r>
      <w:r w:rsidRPr="00351841">
        <w:rPr>
          <w:rFonts w:ascii="Arial" w:hAnsi="Arial" w:cs="Arial"/>
          <w:vertAlign w:val="superscript"/>
        </w:rPr>
        <w:t>1</w:t>
      </w:r>
      <w:r w:rsidRPr="00351841">
        <w:rPr>
          <w:rFonts w:ascii="Arial" w:hAnsi="Arial" w:cs="Arial"/>
        </w:rPr>
        <w:t>. With the acquisition of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OneBeacon, we have launched a new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growth pipeline in the U.S. We have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outperformed the P&amp;C industry on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Return on Equity (ROE) by an average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650 basis points (bps). Our market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capitalization has quadrupled to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$14 billion, and we have delivered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 average annual total shareholder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return of over 15%, almost double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that of the TSX60.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Over the next 10 years, we will build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 unparalleled advantage in Canada by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transforming the customer experience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extending our presence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expertise in the U.S. As we focus on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excelling at the fundamentals, we will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continue to challenge ourselves to stay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ahead of changing consumer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expec</w:t>
      </w:r>
      <w:r w:rsidRPr="00351841">
        <w:rPr>
          <w:rFonts w:ascii="Arial" w:hAnsi="Arial" w:cs="Arial"/>
        </w:rPr>
        <w:t>tations. We will lead in artifi</w:t>
      </w:r>
      <w:r w:rsidRPr="00351841">
        <w:rPr>
          <w:rFonts w:ascii="Arial" w:hAnsi="Arial" w:cs="Arial"/>
        </w:rPr>
        <w:t>cial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intelligence as the explosion of data and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technology advancements continue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rapidly. These big trends combined with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impacts of climate change will have</w:t>
      </w:r>
      <w:r w:rsidRP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 profound effect on the kinds of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products we offer and the way we work.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values, purpose and strategy will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guide us as we tackle these </w:t>
      </w:r>
      <w:r w:rsidR="00351841" w:rsidRPr="00351841">
        <w:rPr>
          <w:rFonts w:ascii="Arial" w:hAnsi="Arial" w:cs="Arial"/>
        </w:rPr>
        <w:t>trends, serve</w:t>
      </w:r>
      <w:r w:rsidRPr="00351841">
        <w:rPr>
          <w:rFonts w:ascii="Arial" w:hAnsi="Arial" w:cs="Arial"/>
        </w:rPr>
        <w:t xml:space="preserve"> our customers and communities,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build a world-class P&amp;C insurer.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2018 year in review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2018 was our first full year operating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both Canada and the U.S.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DPW grew by 16%, driven by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acquisition of OneBeacon and strong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growth in both commercial and specialty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lines in Canada. We saw improving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market conditions as the year progressed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expect personal lines to be a greater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contributor to growth in 2019.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lastRenderedPageBreak/>
        <w:t>Net Operating Income Per Share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(NOIPS)</w:t>
      </w:r>
      <w:r w:rsidRPr="00351841">
        <w:rPr>
          <w:rFonts w:ascii="Arial" w:hAnsi="Arial" w:cs="Arial"/>
          <w:vertAlign w:val="superscript"/>
        </w:rPr>
        <w:t>1</w:t>
      </w:r>
      <w:r w:rsidRPr="00351841">
        <w:rPr>
          <w:rFonts w:ascii="Arial" w:hAnsi="Arial" w:cs="Arial"/>
        </w:rPr>
        <w:t xml:space="preserve"> grew 3% to $5.74, with solid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underwriting </w:t>
      </w:r>
      <w:r w:rsidR="00351841">
        <w:rPr>
          <w:rFonts w:ascii="Arial" w:hAnsi="Arial" w:cs="Arial"/>
        </w:rPr>
        <w:t>p</w:t>
      </w:r>
      <w:r w:rsidRPr="00351841">
        <w:rPr>
          <w:rFonts w:ascii="Arial" w:hAnsi="Arial" w:cs="Arial"/>
        </w:rPr>
        <w:t>erformance in both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Canada and the U.S., and improved net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investment and distribution income.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Net investment income was up a strong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22% due to the growth resulting from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integration of our Canadian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U.S. investment portfolio, as well as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investment optimization initiatives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higher yields.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The combined ratio1 for Canada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was 95.2%, with continued strong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performance from personal property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significant improvement in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personal auto. We are pleased with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profitability trajectory in auto and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are focused on sustaining a mid-90s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combined ratio in 2019. Canadian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commercial lines experienced higher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large losses and higher CAT losses in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2018, but the underlying fundamentals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the business remain strong.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 xml:space="preserve">OneBeacon, in its first full </w:t>
      </w:r>
      <w:r w:rsidR="00351841" w:rsidRPr="00351841">
        <w:rPr>
          <w:rFonts w:ascii="Arial" w:hAnsi="Arial" w:cs="Arial"/>
        </w:rPr>
        <w:t>year, produced</w:t>
      </w:r>
      <w:r w:rsidRPr="00351841">
        <w:rPr>
          <w:rFonts w:ascii="Arial" w:hAnsi="Arial" w:cs="Arial"/>
        </w:rPr>
        <w:t xml:space="preserve"> a combined ratio of 94.8%.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We realized synergies </w:t>
      </w:r>
      <w:proofErr w:type="gramStart"/>
      <w:r w:rsidRPr="00351841">
        <w:rPr>
          <w:rFonts w:ascii="Arial" w:hAnsi="Arial" w:cs="Arial"/>
        </w:rPr>
        <w:t>in excess of</w:t>
      </w:r>
      <w:proofErr w:type="gramEnd"/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US $25 million in 2018, ahead of schedule.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OneBeacon business segments under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profit improvement plans are responding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positively and claims initiatives are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being rolled out and are gaining traction.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NOIPS accretion from OneBeacon was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roughly 6% in 2018 and we remain on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track for a sustainable low 90s combined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ratio by the end of 2020.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086" w:rsidRDefault="002A71DD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The Operating ROE (OROE)</w:t>
      </w:r>
      <w:r w:rsidRPr="00351841">
        <w:rPr>
          <w:rFonts w:ascii="Arial" w:hAnsi="Arial" w:cs="Arial"/>
          <w:vertAlign w:val="superscript"/>
        </w:rPr>
        <w:t>1</w:t>
      </w:r>
      <w:r w:rsidRPr="00351841">
        <w:rPr>
          <w:rFonts w:ascii="Arial" w:hAnsi="Arial" w:cs="Arial"/>
        </w:rPr>
        <w:t xml:space="preserve"> was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12.1% in 2018, below our mid-teen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expectations and historical track </w:t>
      </w:r>
      <w:r w:rsidR="00351841" w:rsidRPr="00351841">
        <w:rPr>
          <w:rFonts w:ascii="Arial" w:hAnsi="Arial" w:cs="Arial"/>
        </w:rPr>
        <w:t xml:space="preserve">record. </w:t>
      </w:r>
      <w:proofErr w:type="gramStart"/>
      <w:r w:rsidR="00351841" w:rsidRPr="00351841">
        <w:rPr>
          <w:rFonts w:ascii="Arial" w:hAnsi="Arial" w:cs="Arial"/>
        </w:rPr>
        <w:t>That</w:t>
      </w:r>
      <w:r w:rsidRPr="00351841">
        <w:rPr>
          <w:rFonts w:ascii="Arial" w:hAnsi="Arial" w:cs="Arial"/>
        </w:rPr>
        <w:t xml:space="preserve"> being said, we</w:t>
      </w:r>
      <w:proofErr w:type="gramEnd"/>
      <w:r w:rsidRPr="00351841">
        <w:rPr>
          <w:rFonts w:ascii="Arial" w:hAnsi="Arial" w:cs="Arial"/>
        </w:rPr>
        <w:t xml:space="preserve"> outperformed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industry on ROE by close to 900 bps,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 significant margin. We expect our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OROE to improve in 2019 given the</w:t>
      </w:r>
      <w:r w:rsidR="00351841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success of our profitability </w:t>
      </w:r>
      <w:r w:rsidR="00351841" w:rsidRPr="00351841">
        <w:rPr>
          <w:rFonts w:ascii="Arial" w:hAnsi="Arial" w:cs="Arial"/>
        </w:rPr>
        <w:t>actions and</w:t>
      </w:r>
      <w:r w:rsidRPr="00351841">
        <w:rPr>
          <w:rFonts w:ascii="Arial" w:hAnsi="Arial" w:cs="Arial"/>
        </w:rPr>
        <w:t xml:space="preserve"> the improving market outlo</w:t>
      </w:r>
      <w:r w:rsidR="007D0086">
        <w:rPr>
          <w:rFonts w:ascii="Arial" w:hAnsi="Arial" w:cs="Arial"/>
        </w:rPr>
        <w:t>ok.</w:t>
      </w:r>
    </w:p>
    <w:p w:rsidR="007D0086" w:rsidRPr="00351841" w:rsidRDefault="007D008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balance sheet is strong, with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$1.3 billion of total capital margin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debt-to-total capital of 22%.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This strength fuels the execution of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strategy and gives us the flexibility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take advantage of consolidation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opportunities in Canada moving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forward. Our balance sheet, combined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with good earnings momentum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 favourable growth outlook, led us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once again raise our quarterly dividend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this year by 9% to $0.76.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Favourable industry outlook</w:t>
      </w:r>
      <w:r w:rsidR="007D0086">
        <w:rPr>
          <w:rFonts w:ascii="Arial" w:hAnsi="Arial" w:cs="Arial"/>
          <w:b/>
          <w:bCs/>
        </w:rPr>
        <w:t xml:space="preserve"> </w:t>
      </w:r>
      <w:r w:rsidRPr="00351841">
        <w:rPr>
          <w:rFonts w:ascii="Arial" w:hAnsi="Arial" w:cs="Arial"/>
          <w:b/>
          <w:bCs/>
        </w:rPr>
        <w:t>supportive of growth and</w:t>
      </w:r>
      <w:r w:rsidR="007D0086">
        <w:rPr>
          <w:rFonts w:ascii="Arial" w:hAnsi="Arial" w:cs="Arial"/>
          <w:b/>
          <w:bCs/>
        </w:rPr>
        <w:t xml:space="preserve"> </w:t>
      </w:r>
      <w:r w:rsidRPr="00351841">
        <w:rPr>
          <w:rFonts w:ascii="Arial" w:hAnsi="Arial" w:cs="Arial"/>
          <w:b/>
          <w:bCs/>
        </w:rPr>
        <w:t>profitability initiatives</w:t>
      </w:r>
    </w:p>
    <w:p w:rsidR="007D0086" w:rsidRPr="00351841" w:rsidRDefault="007D008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2018 was a challenging year for the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Canadian P&amp;C industry with a combined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ratio of 102.1% and ROE of 2.8%.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Industry-wide actions including rate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increases have led to the firm conditions</w:t>
      </w:r>
    </w:p>
    <w:p w:rsidR="002A71DD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now see across all lines. We expect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see at least mid single-digit premium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growth for the Canadian industry in 2019.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personal auto and commercial lines,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profitability challenges are putting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upward pressure on rates, while in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personal property, companies continue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adjust to changing weather patterns.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As industry rate increases catch up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competitive position improves, we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expect our growth in personal lines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improve in 2019.</w:t>
      </w:r>
    </w:p>
    <w:p w:rsidR="007D0086" w:rsidRPr="00351841" w:rsidRDefault="007D0086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In U.S. Commercial, the pricing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environment is competitive but stable,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with modest upward pricing trends. We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expect low to mid single-digit industry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growth in the coming year, while </w:t>
      </w:r>
      <w:proofErr w:type="gramStart"/>
      <w:r w:rsidRPr="00351841">
        <w:rPr>
          <w:rFonts w:ascii="Arial" w:hAnsi="Arial" w:cs="Arial"/>
        </w:rPr>
        <w:t>our</w:t>
      </w:r>
      <w:proofErr w:type="gramEnd"/>
    </w:p>
    <w:p w:rsidR="002A71DD" w:rsidRPr="00351841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strategies in U.S. Specialty position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us to do better than that.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Overall, we expect the industry’s ROE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improve but remain below its long-term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average of 10% over the next 12 months.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 xml:space="preserve">While we maintain our </w:t>
      </w:r>
      <w:proofErr w:type="gramStart"/>
      <w:r w:rsidRPr="00351841">
        <w:rPr>
          <w:rFonts w:ascii="Arial" w:hAnsi="Arial" w:cs="Arial"/>
        </w:rPr>
        <w:t>500 bps</w:t>
      </w:r>
      <w:proofErr w:type="gramEnd"/>
      <w:r w:rsidRPr="00351841">
        <w:rPr>
          <w:rFonts w:ascii="Arial" w:hAnsi="Arial" w:cs="Arial"/>
        </w:rPr>
        <w:t xml:space="preserve"> industry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outperformance objective, our strategies,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strong distribution networks and depth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talent across the organization should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help us exceed this target and capture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improving growth opportunities in 2019.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Our strategy shapes</w:t>
      </w:r>
      <w:r w:rsidR="007D0086">
        <w:rPr>
          <w:rFonts w:ascii="Arial" w:hAnsi="Arial" w:cs="Arial"/>
          <w:b/>
          <w:bCs/>
        </w:rPr>
        <w:t xml:space="preserve"> </w:t>
      </w:r>
      <w:r w:rsidRPr="00351841">
        <w:rPr>
          <w:rFonts w:ascii="Arial" w:hAnsi="Arial" w:cs="Arial"/>
          <w:b/>
          <w:bCs/>
        </w:rPr>
        <w:t>our success</w:t>
      </w:r>
    </w:p>
    <w:p w:rsidR="007D0086" w:rsidRPr="00351841" w:rsidRDefault="007D008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In the medium term, we will continue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excel at the fundamentals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execute on our four strategic pillars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solidify our position as Canada’s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number one P&amp;C insurer and a leading</w:t>
      </w:r>
    </w:p>
    <w:p w:rsidR="002A71DD" w:rsidRPr="00351841" w:rsidRDefault="002A71DD" w:rsidP="002A71DD">
      <w:pPr>
        <w:rPr>
          <w:rFonts w:ascii="Arial" w:hAnsi="Arial" w:cs="Arial"/>
        </w:rPr>
      </w:pPr>
      <w:r w:rsidRPr="00351841">
        <w:rPr>
          <w:rFonts w:ascii="Arial" w:hAnsi="Arial" w:cs="Arial"/>
        </w:rPr>
        <w:t>North American specialty insurer</w:t>
      </w:r>
      <w:r w:rsidRPr="00351841">
        <w:rPr>
          <w:rFonts w:ascii="Arial" w:hAnsi="Arial" w:cs="Arial"/>
        </w:rPr>
        <w:t>.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Our customers are our advocates</w:t>
      </w:r>
    </w:p>
    <w:p w:rsidR="007D0086" w:rsidRPr="00351841" w:rsidRDefault="007D008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This year, substantial investments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technology, digital tools, design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expertise and artificial intelligence (AI)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helped us deliver industry-leading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platforms and provide more convenience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for customers. Our new Client Centre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self-service app makes it easier for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customers and brokers to do business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with us. And our recently launched mobile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Usage Based Insurance (UBI) 2.0 can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now detect distracted driving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improve safety.</w:t>
      </w:r>
    </w:p>
    <w:p w:rsidR="007D0086" w:rsidRPr="00351841" w:rsidRDefault="007D008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are making things simpler for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small and mid-sized business customers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get quotes through our new Quick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Quote tool for commercial lines – prefilling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more than half the questions using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geomatics and external data sources.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claims service is a key differentiator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is at the heart of what we promise.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continue to increase satisfaction by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providing customers with options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tailor their experience – offering both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online self-service options as well as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face-to-face, full-service centres.</w:t>
      </w:r>
    </w:p>
    <w:p w:rsidR="007D0086" w:rsidRPr="00351841" w:rsidRDefault="007D0086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By 2020, we aim to have three out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four customers as advocates by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delivering second-to-none experiences.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Through awareness and digital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adoption, we aim to have three out of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four people actively digitally engaged.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Our people are engaged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people are central to the success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our customer driven transformation.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They are the ones who help customers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get back on track, develop new products,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make it easier to do business with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us. We are a growing destination for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top talent as a company that invests in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skills and tools of our employees,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provides an inspiring environment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wants to be a force for good in society.</w:t>
      </w:r>
    </w:p>
    <w:p w:rsidR="007D0086" w:rsidRPr="00351841" w:rsidRDefault="007D008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are actively recruiting people with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 wide range of expertise, from those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focused on the front-line customer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service; to industry experts; to software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engineers, designers and data scientists.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all share a common goal of wanting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shape the future of insurance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provide second-to-none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customer experiences.</w:t>
      </w:r>
    </w:p>
    <w:p w:rsidR="007D0086" w:rsidRPr="00351841" w:rsidRDefault="007D0086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A team that is engaged and inspired is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central to that future. As our company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grows and evolves, we continue to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have strong engagement. In 2018,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employees recognized our company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as being customer driven, for living our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values and for having leaders who care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for people, are open and honest, take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accountability and drive change. For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4th year in a row, we were named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one of Canada’s Top 100 Employers and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 Aon Best Employer –Canada 2019,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Platinum level. And for the first time, we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were named one of the 25 Best Places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Work in Canada by Glassdoor, as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determined by those who know a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company best – employees.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Our specialty solutions business</w:t>
      </w:r>
      <w:r w:rsidR="007D0086">
        <w:rPr>
          <w:rFonts w:ascii="Arial" w:hAnsi="Arial" w:cs="Arial"/>
          <w:b/>
          <w:bCs/>
        </w:rPr>
        <w:t xml:space="preserve"> </w:t>
      </w:r>
      <w:r w:rsidRPr="00351841">
        <w:rPr>
          <w:rFonts w:ascii="Arial" w:hAnsi="Arial" w:cs="Arial"/>
          <w:b/>
          <w:bCs/>
        </w:rPr>
        <w:t>is a leader in North America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Canadian specialty lines platform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has grown close to 50% over the past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five years. In 2017, we boosted our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ambitions in specialty lines with the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acquisition of OneBeacon. The</w:t>
      </w:r>
    </w:p>
    <w:p w:rsidR="002A71DD" w:rsidRPr="00351841" w:rsidRDefault="002A71DD" w:rsidP="007D0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transition has gone very well – our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culture and values have been aligned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from the beginning. It feels like we've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been working together for a long time</w:t>
      </w:r>
      <w:r w:rsidR="007D008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we are seeing positive results.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  <w:color w:val="000000"/>
        </w:rPr>
        <w:t>Combined specialty lines premiums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grew to $2.3 billion in 2018, nearly a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quarter of IFC’s book of business.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We are on track to reach our goal of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$3 billion and achieve a sustainable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  <w:color w:val="000000"/>
        </w:rPr>
        <w:t>combined ratio in the low 90s in the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medium term.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Having the right people with the right</w:t>
      </w: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  <w:color w:val="000000"/>
        </w:rPr>
        <w:t>expertise is critical to the success of the</w:t>
      </w:r>
      <w:r w:rsidR="007D008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specialty business. We are now better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positioned to leverage the significant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opportunities we see in specialty lines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across North America including growing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our Canadian cross-border business,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expanding the most attractive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OneBeacon product offerings in both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the U.S. and Canada, and leveraging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our sharing economy expertise.</w:t>
      </w:r>
    </w:p>
    <w:p w:rsidR="00720316" w:rsidRPr="00351841" w:rsidRDefault="0072031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71DD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1841">
        <w:rPr>
          <w:rFonts w:ascii="Arial" w:hAnsi="Arial" w:cs="Arial"/>
          <w:b/>
          <w:bCs/>
          <w:color w:val="000000"/>
        </w:rPr>
        <w:t>Our company is one of</w:t>
      </w:r>
      <w:r w:rsidR="00720316">
        <w:rPr>
          <w:rFonts w:ascii="Arial" w:hAnsi="Arial" w:cs="Arial"/>
          <w:b/>
          <w:bCs/>
          <w:color w:val="000000"/>
        </w:rPr>
        <w:t xml:space="preserve"> </w:t>
      </w:r>
      <w:r w:rsidRPr="00351841">
        <w:rPr>
          <w:rFonts w:ascii="Arial" w:hAnsi="Arial" w:cs="Arial"/>
          <w:b/>
          <w:bCs/>
          <w:color w:val="000000"/>
        </w:rPr>
        <w:t>the most respected</w:t>
      </w:r>
    </w:p>
    <w:p w:rsidR="00720316" w:rsidRPr="00351841" w:rsidRDefault="00720316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  <w:color w:val="000000"/>
        </w:rPr>
        <w:t>To be one of the most respected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companies we must, above all, live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our values in the marketplace every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day. That includes putting in place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strong governance and abiding by</w:t>
      </w:r>
    </w:p>
    <w:p w:rsidR="002A71DD" w:rsidRPr="00351841" w:rsidRDefault="002A71DD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  <w:color w:val="000000"/>
        </w:rPr>
        <w:t>the highest ethical standards. As our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Chairman notes in his letter, we have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consistently performed well in external</w:t>
      </w:r>
      <w:r w:rsidR="00720316">
        <w:rPr>
          <w:rFonts w:ascii="Arial" w:hAnsi="Arial" w:cs="Arial"/>
          <w:color w:val="000000"/>
        </w:rPr>
        <w:t xml:space="preserve"> </w:t>
      </w:r>
      <w:r w:rsidRPr="00351841">
        <w:rPr>
          <w:rFonts w:ascii="Arial" w:hAnsi="Arial" w:cs="Arial"/>
          <w:color w:val="000000"/>
        </w:rPr>
        <w:t>governance reviews.</w:t>
      </w:r>
    </w:p>
    <w:p w:rsidR="00351841" w:rsidRPr="00351841" w:rsidRDefault="00351841" w:rsidP="002A7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continue to drive change, increase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broker satisfaction, and take customer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experience to the next level across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personal and commercial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businesses while deepening our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strengths in pricing, risk selection,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claims and investments.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have laid out clear performance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targets to earn respect including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exceeding industry ROE by 500 bps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Canada and the U.S. and growing</w:t>
      </w:r>
    </w:p>
    <w:p w:rsidR="00720316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NOIPS 10% yearly over time. We have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continued to perform well against those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targets. In 2018, we exceeded industry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ROE by close to 900 bps, taking average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annual outperformance on this metric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650 bps over the past decade. Since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becoming Intact Financial in 2009,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we’ve grown NOIPS at a compound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annual growth rate just north of 10%.</w:t>
      </w:r>
      <w:r w:rsidR="00720316">
        <w:rPr>
          <w:rFonts w:ascii="Arial" w:hAnsi="Arial" w:cs="Arial"/>
        </w:rPr>
        <w:t xml:space="preserve"> </w:t>
      </w:r>
    </w:p>
    <w:p w:rsidR="00720316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This outperformance allows us to invest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transformation – including leveraging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AI to design relevant products </w:t>
      </w:r>
      <w:r w:rsidR="00720316" w:rsidRPr="00351841">
        <w:rPr>
          <w:rFonts w:ascii="Arial" w:hAnsi="Arial" w:cs="Arial"/>
        </w:rPr>
        <w:t>and services</w:t>
      </w:r>
      <w:r w:rsidRPr="00351841">
        <w:rPr>
          <w:rFonts w:ascii="Arial" w:hAnsi="Arial" w:cs="Arial"/>
        </w:rPr>
        <w:t xml:space="preserve"> for customers. We aspire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 the best insurance AI shop in the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world and we are building unique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partnerships with leading universities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Canada to build a top talent pipeline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of actuaries and data scientists,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develop cutting-edge products.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team of data scientists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actuaries at the Data Lab are rolling out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latest rating algorithms. We see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strong evidence that our investments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AI will drive efficiencies, growth and</w:t>
      </w: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margin expansion in the years ahead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through more accurate pricing to better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reflect risk and a more personalized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product for customers.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Making a difference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Making a difference is in our DNA,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it is reflected in our purpose and how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live our values. Those values help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us make the right decisions whether we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are talking about financial performance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or supporting our communities.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Employees and customers </w:t>
      </w:r>
      <w:r w:rsidR="00720316" w:rsidRPr="00351841">
        <w:rPr>
          <w:rFonts w:ascii="Arial" w:hAnsi="Arial" w:cs="Arial"/>
        </w:rPr>
        <w:t>are increasingly</w:t>
      </w:r>
      <w:r w:rsidRPr="00351841">
        <w:rPr>
          <w:rFonts w:ascii="Arial" w:hAnsi="Arial" w:cs="Arial"/>
        </w:rPr>
        <w:t xml:space="preserve"> looking to businesses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take the lead on important societal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issues. We must challenge ourselves</w:t>
      </w: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over the next 10 years to have a greater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presence in our communities, and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 more generous of our time, our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knowhow and our financial resources.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So how do we begin to raise the bar?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Over the last 10 years, we have donated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more than $37 million to charitable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causes, including more than $6 million in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2018 alone. Climate change adaptation,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addressing the root causes of child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poverty, and supporting employee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citizenship through our community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impact program are at the heart of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our </w:t>
      </w:r>
      <w:r w:rsidR="00720316" w:rsidRPr="00351841">
        <w:rPr>
          <w:rFonts w:ascii="Arial" w:hAnsi="Arial" w:cs="Arial"/>
        </w:rPr>
        <w:t>giving. Supporting</w:t>
      </w:r>
      <w:r w:rsidRPr="00351841">
        <w:rPr>
          <w:rFonts w:ascii="Arial" w:hAnsi="Arial" w:cs="Arial"/>
        </w:rPr>
        <w:t xml:space="preserve"> climate change adaptation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initiatives has been, and will continue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be, at the top of our list. We saw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canary in the coal mine 10 years ago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we’ve been helping our customers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manage the direct effects of increased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flooding, fire and other extreme weather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events ever since. We continue to see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benefits in our investment in the Intact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Centre for Climate Adaptation at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University of Waterloo. Dr. Blair Feltmate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the team had outstanding success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this year working with government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partners to strengthen building codes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flood standards and to give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homeowners practical tools and tips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to protect their homes from flooding.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are working with other global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insurers, governments and nongovernment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organizations on climate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change. This year, we joined the United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0316">
        <w:rPr>
          <w:rFonts w:ascii="Arial" w:hAnsi="Arial" w:cs="Arial"/>
        </w:rPr>
        <w:t>Nations Environment Programme</w:t>
      </w:r>
      <w:r w:rsidR="00720316" w:rsidRPr="00720316">
        <w:rPr>
          <w:rFonts w:ascii="Arial" w:hAnsi="Arial" w:cs="Arial"/>
        </w:rPr>
        <w:t xml:space="preserve"> </w:t>
      </w:r>
      <w:r w:rsidRPr="00720316">
        <w:rPr>
          <w:rFonts w:ascii="Arial" w:hAnsi="Arial" w:cs="Arial"/>
        </w:rPr>
        <w:t>Finance Initiative (UNEP FI) Task Force</w:t>
      </w:r>
      <w:r w:rsidR="00720316" w:rsidRP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 Climate-related Financial Disclosures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(TCFD) pilot, bringing together 16 of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world's largest insurers to better</w:t>
      </w:r>
    </w:p>
    <w:p w:rsidR="00720316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understand the impacts of climate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change on their business and how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account for them. </w:t>
      </w:r>
    </w:p>
    <w:p w:rsidR="00720316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also co-hosted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the Geneva Association Global Forum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on Pathways to Climate-Resilient Critical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Infrastructure in Toronto last September.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will continue to use our knowledge,</w:t>
      </w:r>
    </w:p>
    <w:p w:rsidR="00720316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experience and expertise in 2019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work with our partners to find solutions.</w:t>
      </w:r>
      <w:r w:rsidR="00720316">
        <w:rPr>
          <w:rFonts w:ascii="Arial" w:hAnsi="Arial" w:cs="Arial"/>
        </w:rPr>
        <w:t xml:space="preserve"> </w:t>
      </w:r>
    </w:p>
    <w:p w:rsidR="00720316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Child poverty is another serious issue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that needs immediate attention right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here in our own backyard. Today one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five children in Canada lives in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poverty. This year, </w:t>
      </w:r>
      <w:proofErr w:type="spellStart"/>
      <w:r w:rsidRPr="00351841">
        <w:rPr>
          <w:rFonts w:ascii="Arial" w:hAnsi="Arial" w:cs="Arial"/>
        </w:rPr>
        <w:t>Intact’s</w:t>
      </w:r>
      <w:proofErr w:type="spellEnd"/>
      <w:r w:rsidRPr="00351841">
        <w:rPr>
          <w:rFonts w:ascii="Arial" w:hAnsi="Arial" w:cs="Arial"/>
        </w:rPr>
        <w:t xml:space="preserve"> donation</w:t>
      </w: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to the United Way was designated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agencies that specifically address child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poverty issues. And we will continue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build on our commitment in this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area of focus.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 xml:space="preserve">In 2018, we also supported the </w:t>
      </w:r>
      <w:proofErr w:type="spellStart"/>
      <w:r w:rsidRPr="00351841">
        <w:rPr>
          <w:rFonts w:ascii="Arial" w:hAnsi="Arial" w:cs="Arial"/>
        </w:rPr>
        <w:t>Roméo</w:t>
      </w:r>
      <w:proofErr w:type="spellEnd"/>
      <w:r w:rsidR="00720316">
        <w:rPr>
          <w:rFonts w:ascii="Arial" w:hAnsi="Arial" w:cs="Arial"/>
        </w:rPr>
        <w:t xml:space="preserve"> </w:t>
      </w:r>
      <w:proofErr w:type="spellStart"/>
      <w:r w:rsidRPr="00351841">
        <w:rPr>
          <w:rFonts w:ascii="Arial" w:hAnsi="Arial" w:cs="Arial"/>
        </w:rPr>
        <w:t>Dallaire</w:t>
      </w:r>
      <w:proofErr w:type="spellEnd"/>
      <w:r w:rsidRPr="00351841">
        <w:rPr>
          <w:rFonts w:ascii="Arial" w:hAnsi="Arial" w:cs="Arial"/>
        </w:rPr>
        <w:t xml:space="preserve"> Child Soldiers Initiative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establish a regional centre of training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learning in Rwanda. These funds will help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the </w:t>
      </w:r>
      <w:proofErr w:type="spellStart"/>
      <w:r w:rsidRPr="00351841">
        <w:rPr>
          <w:rFonts w:ascii="Arial" w:hAnsi="Arial" w:cs="Arial"/>
        </w:rPr>
        <w:t>Dallaire</w:t>
      </w:r>
      <w:proofErr w:type="spellEnd"/>
      <w:r w:rsidRPr="00351841">
        <w:rPr>
          <w:rFonts w:ascii="Arial" w:hAnsi="Arial" w:cs="Arial"/>
        </w:rPr>
        <w:t xml:space="preserve"> Initiative establish a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permanent presence in Africa. This is a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cause that has been widely embraced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by our employees and I spent time in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 xml:space="preserve">Rwanda last spring with the </w:t>
      </w:r>
      <w:proofErr w:type="spellStart"/>
      <w:r w:rsidRPr="00351841">
        <w:rPr>
          <w:rFonts w:ascii="Arial" w:hAnsi="Arial" w:cs="Arial"/>
        </w:rPr>
        <w:t>Dallaire</w:t>
      </w:r>
      <w:proofErr w:type="spellEnd"/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Initiative and saw first-hand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importance of their work. While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problem of using children in wars is far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from resolved, the General's team is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moving the needle and making progress.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We will challenge ourselves to do better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 supporting climate change adaptation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addressing the root causes of child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poverty in 2019 and beyond.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As beneficiaries of the power of AI,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we will also turn more of our attention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the uncertainty this creates around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the future of work. People are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increasingly concerned about the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impact of technology on jobs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whether they can continue to get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ahead. It is up to companies like Intact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to help our employees navigate this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uncertainty and gain new skills, and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for us to continue to grow and provide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good jobs in the future.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Conclusion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values, our people and our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strategy have been foundational to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success over the last 10 years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and they will continue to underpin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work over the next 10.</w:t>
      </w:r>
    </w:p>
    <w:p w:rsidR="00720316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Our customer driven culture and our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care for our people during a period of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transformational change are what will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differentiate us. We are confident that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this will fuel profitable growth and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another decade of outperformance on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 financial objectives as we establish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ourselves as a world-class P&amp;C</w:t>
      </w:r>
      <w:r w:rsidR="00720316">
        <w:rPr>
          <w:rFonts w:ascii="Arial" w:hAnsi="Arial" w:cs="Arial"/>
        </w:rPr>
        <w:t xml:space="preserve"> </w:t>
      </w:r>
      <w:r w:rsidRPr="00351841">
        <w:rPr>
          <w:rFonts w:ascii="Arial" w:hAnsi="Arial" w:cs="Arial"/>
        </w:rPr>
        <w:t>insurance company.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720316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51841" w:rsidRPr="00351841">
        <w:rPr>
          <w:rFonts w:ascii="Arial" w:hAnsi="Arial" w:cs="Arial"/>
        </w:rPr>
        <w:t>would like to thank our shareholders</w:t>
      </w:r>
      <w:r>
        <w:rPr>
          <w:rFonts w:ascii="Arial" w:hAnsi="Arial" w:cs="Arial"/>
        </w:rPr>
        <w:t xml:space="preserve"> </w:t>
      </w:r>
      <w:r w:rsidR="00351841" w:rsidRPr="00351841">
        <w:rPr>
          <w:rFonts w:ascii="Arial" w:hAnsi="Arial" w:cs="Arial"/>
        </w:rPr>
        <w:t>and brokers for their support over the</w:t>
      </w:r>
      <w:r>
        <w:rPr>
          <w:rFonts w:ascii="Arial" w:hAnsi="Arial" w:cs="Arial"/>
        </w:rPr>
        <w:t xml:space="preserve"> </w:t>
      </w:r>
      <w:r w:rsidR="00351841" w:rsidRPr="00351841">
        <w:rPr>
          <w:rFonts w:ascii="Arial" w:hAnsi="Arial" w:cs="Arial"/>
        </w:rPr>
        <w:t>last 10 years and our world-class team</w:t>
      </w:r>
      <w:r>
        <w:rPr>
          <w:rFonts w:ascii="Arial" w:hAnsi="Arial" w:cs="Arial"/>
        </w:rPr>
        <w:t xml:space="preserve"> </w:t>
      </w:r>
      <w:r w:rsidR="00351841" w:rsidRPr="00351841">
        <w:rPr>
          <w:rFonts w:ascii="Arial" w:hAnsi="Arial" w:cs="Arial"/>
        </w:rPr>
        <w:t>of employees across North America</w:t>
      </w:r>
      <w:r>
        <w:rPr>
          <w:rFonts w:ascii="Arial" w:hAnsi="Arial" w:cs="Arial"/>
        </w:rPr>
        <w:t xml:space="preserve"> </w:t>
      </w:r>
      <w:r w:rsidR="00351841" w:rsidRPr="00351841">
        <w:rPr>
          <w:rFonts w:ascii="Arial" w:hAnsi="Arial" w:cs="Arial"/>
        </w:rPr>
        <w:t>for their dedication to our customers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841">
        <w:rPr>
          <w:rFonts w:ascii="Arial" w:hAnsi="Arial" w:cs="Arial"/>
        </w:rPr>
        <w:t>and communities.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841">
        <w:rPr>
          <w:rFonts w:ascii="Arial" w:hAnsi="Arial" w:cs="Arial"/>
          <w:b/>
          <w:bCs/>
        </w:rPr>
        <w:t>Charles Brindamour</w:t>
      </w:r>
    </w:p>
    <w:p w:rsidR="00351841" w:rsidRPr="00351841" w:rsidRDefault="00351841" w:rsidP="00351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841">
        <w:rPr>
          <w:rFonts w:ascii="Arial" w:hAnsi="Arial" w:cs="Arial"/>
        </w:rPr>
        <w:t>Chief Executive Officer</w:t>
      </w:r>
    </w:p>
    <w:sectPr w:rsidR="00351841" w:rsidRPr="00351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6" w:rsidRDefault="00720316" w:rsidP="00720316">
      <w:pPr>
        <w:spacing w:after="0" w:line="240" w:lineRule="auto"/>
      </w:pPr>
      <w:r>
        <w:separator/>
      </w:r>
    </w:p>
  </w:endnote>
  <w:endnote w:type="continuationSeparator" w:id="0">
    <w:p w:rsidR="00720316" w:rsidRDefault="00720316" w:rsidP="007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Footer"/>
    </w:pPr>
    <w:r>
      <w:t>1 This is a non-IFRS fi</w:t>
    </w:r>
    <w:r w:rsidRPr="00720316">
      <w:t xml:space="preserve">nancial measure. </w:t>
    </w:r>
    <w:r w:rsidRPr="00720316">
      <w:t>See glossar</w:t>
    </w:r>
    <w:bookmarkStart w:id="0" w:name="_GoBack"/>
    <w:bookmarkEnd w:id="0"/>
    <w:r w:rsidRPr="00720316">
      <w:t>y</w:t>
    </w:r>
    <w:r>
      <w:t xml:space="preserve"> in annual report 2018 on page 170 for the defi</w:t>
    </w:r>
    <w:r w:rsidRPr="00720316">
      <w:t>nition.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6" w:rsidRDefault="00720316" w:rsidP="00720316">
      <w:pPr>
        <w:spacing w:after="0" w:line="240" w:lineRule="auto"/>
      </w:pPr>
      <w:r>
        <w:separator/>
      </w:r>
    </w:p>
  </w:footnote>
  <w:footnote w:type="continuationSeparator" w:id="0">
    <w:p w:rsidR="00720316" w:rsidRDefault="00720316" w:rsidP="0072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6" w:rsidRDefault="0072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D"/>
    <w:rsid w:val="002A71DD"/>
    <w:rsid w:val="00351841"/>
    <w:rsid w:val="00720316"/>
    <w:rsid w:val="007B3C0C"/>
    <w:rsid w:val="007D0086"/>
    <w:rsid w:val="007D5179"/>
    <w:rsid w:val="00E42C8F"/>
    <w:rsid w:val="00E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6A87"/>
  <w15:chartTrackingRefBased/>
  <w15:docId w15:val="{95F9D83F-0DC7-48A8-A30C-8143F71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16"/>
  </w:style>
  <w:style w:type="paragraph" w:styleId="Footer">
    <w:name w:val="footer"/>
    <w:basedOn w:val="Normal"/>
    <w:link w:val="FooterChar"/>
    <w:uiPriority w:val="99"/>
    <w:unhideWhenUsed/>
    <w:rsid w:val="0072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 Financial Corporation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Tan</dc:creator>
  <cp:keywords/>
  <dc:description/>
  <cp:lastModifiedBy>Hazel Tan</cp:lastModifiedBy>
  <cp:revision>1</cp:revision>
  <dcterms:created xsi:type="dcterms:W3CDTF">2019-03-28T00:00:00Z</dcterms:created>
  <dcterms:modified xsi:type="dcterms:W3CDTF">2019-03-28T00:46:00Z</dcterms:modified>
</cp:coreProperties>
</file>