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41" w:rsidRPr="000341A4" w:rsidRDefault="000341A4" w:rsidP="004A2441">
      <w:pPr>
        <w:rPr>
          <w:b/>
          <w:sz w:val="28"/>
        </w:rPr>
      </w:pPr>
      <w:r w:rsidRPr="000341A4">
        <w:rPr>
          <w:b/>
          <w:sz w:val="28"/>
        </w:rPr>
        <w:t>Facts &amp;</w:t>
      </w:r>
      <w:r w:rsidR="00875D60" w:rsidRPr="000341A4">
        <w:rPr>
          <w:b/>
          <w:sz w:val="28"/>
        </w:rPr>
        <w:t xml:space="preserve"> </w:t>
      </w:r>
      <w:proofErr w:type="spellStart"/>
      <w:r w:rsidR="00875D60" w:rsidRPr="000341A4">
        <w:rPr>
          <w:b/>
          <w:sz w:val="28"/>
        </w:rPr>
        <w:t>Figures</w:t>
      </w:r>
      <w:proofErr w:type="spellEnd"/>
    </w:p>
    <w:p w:rsidR="004326C5" w:rsidRPr="000341A4" w:rsidRDefault="004326C5" w:rsidP="000F58D6">
      <w:pPr>
        <w:rPr>
          <w:rFonts w:cs="Times New Roman"/>
          <w:b/>
          <w:sz w:val="24"/>
          <w:szCs w:val="24"/>
        </w:rPr>
      </w:pPr>
    </w:p>
    <w:p w:rsidR="000F58D6" w:rsidRPr="0030092C" w:rsidRDefault="00875D60" w:rsidP="000F58D6">
      <w:pPr>
        <w:rPr>
          <w:rFonts w:cstheme="minorHAnsi"/>
          <w:b/>
        </w:rPr>
      </w:pPr>
      <w:r w:rsidRPr="0030092C">
        <w:rPr>
          <w:rFonts w:cstheme="minorHAnsi"/>
          <w:b/>
        </w:rPr>
        <w:t xml:space="preserve">John Wiley &amp; </w:t>
      </w:r>
      <w:proofErr w:type="spellStart"/>
      <w:r w:rsidRPr="0030092C">
        <w:rPr>
          <w:rFonts w:cstheme="minorHAnsi"/>
          <w:b/>
        </w:rPr>
        <w:t>Sons</w:t>
      </w:r>
      <w:proofErr w:type="spellEnd"/>
    </w:p>
    <w:p w:rsidR="000341A4" w:rsidRPr="0030092C" w:rsidRDefault="000341A4" w:rsidP="000341A4">
      <w:pPr>
        <w:pStyle w:val="Listenabsatz"/>
        <w:numPr>
          <w:ilvl w:val="0"/>
          <w:numId w:val="5"/>
        </w:numPr>
        <w:rPr>
          <w:rFonts w:cstheme="minorHAnsi"/>
        </w:rPr>
      </w:pPr>
      <w:r w:rsidRPr="0030092C">
        <w:rPr>
          <w:rFonts w:cstheme="minorHAnsi"/>
        </w:rPr>
        <w:t>Gegründet 1807 (ältester Verlag Amerikas)</w:t>
      </w:r>
    </w:p>
    <w:p w:rsidR="000341A4" w:rsidRPr="0030092C" w:rsidRDefault="000341A4" w:rsidP="000341A4">
      <w:pPr>
        <w:pStyle w:val="Listenabsatz"/>
        <w:numPr>
          <w:ilvl w:val="0"/>
          <w:numId w:val="5"/>
        </w:numPr>
        <w:rPr>
          <w:rFonts w:cstheme="minorHAnsi"/>
        </w:rPr>
      </w:pPr>
      <w:r w:rsidRPr="0030092C">
        <w:rPr>
          <w:rFonts w:cstheme="minorHAnsi"/>
        </w:rPr>
        <w:t>500 Nobelpreisträger</w:t>
      </w:r>
    </w:p>
    <w:p w:rsidR="000341A4" w:rsidRPr="0030092C" w:rsidRDefault="000341A4" w:rsidP="000341A4">
      <w:pPr>
        <w:pStyle w:val="Listenabsatz"/>
        <w:numPr>
          <w:ilvl w:val="0"/>
          <w:numId w:val="5"/>
        </w:numPr>
        <w:rPr>
          <w:rFonts w:cstheme="minorHAnsi"/>
        </w:rPr>
      </w:pPr>
      <w:r w:rsidRPr="0030092C">
        <w:rPr>
          <w:rFonts w:cstheme="minorHAnsi"/>
        </w:rPr>
        <w:t>5.000+ Mitarbeiter, 75 Büros und 35 Länder</w:t>
      </w:r>
    </w:p>
    <w:p w:rsidR="000341A4" w:rsidRPr="0030092C" w:rsidRDefault="000341A4" w:rsidP="000341A4">
      <w:pPr>
        <w:pStyle w:val="Listenabsatz"/>
        <w:numPr>
          <w:ilvl w:val="0"/>
          <w:numId w:val="5"/>
        </w:numPr>
        <w:rPr>
          <w:rFonts w:cstheme="minorHAnsi"/>
        </w:rPr>
      </w:pPr>
      <w:r w:rsidRPr="0030092C">
        <w:rPr>
          <w:rFonts w:cstheme="minorHAnsi"/>
        </w:rPr>
        <w:t>1,8 Mrd. $ Umsatz weltweit; Über 60% digital</w:t>
      </w:r>
    </w:p>
    <w:p w:rsidR="000341A4" w:rsidRPr="0030092C" w:rsidRDefault="000341A4" w:rsidP="000341A4">
      <w:pPr>
        <w:pStyle w:val="Listenabsatz"/>
        <w:numPr>
          <w:ilvl w:val="0"/>
          <w:numId w:val="5"/>
        </w:numPr>
        <w:rPr>
          <w:rFonts w:cstheme="minorHAnsi"/>
        </w:rPr>
      </w:pPr>
      <w:r w:rsidRPr="0030092C">
        <w:rPr>
          <w:rFonts w:cstheme="minorHAnsi"/>
        </w:rPr>
        <w:t>60+ Wiley-LH OPM Partnerinstitutionen</w:t>
      </w:r>
    </w:p>
    <w:p w:rsidR="000341A4" w:rsidRPr="0030092C" w:rsidRDefault="000341A4" w:rsidP="000341A4">
      <w:pPr>
        <w:pStyle w:val="Listenabsatz"/>
        <w:numPr>
          <w:ilvl w:val="0"/>
          <w:numId w:val="5"/>
        </w:numPr>
        <w:rPr>
          <w:rFonts w:cstheme="minorHAnsi"/>
        </w:rPr>
      </w:pPr>
      <w:r w:rsidRPr="0030092C">
        <w:rPr>
          <w:rFonts w:cstheme="minorHAnsi"/>
        </w:rPr>
        <w:t>2.500+ WLS zertifizierte Praktiker</w:t>
      </w:r>
    </w:p>
    <w:p w:rsidR="000341A4" w:rsidRPr="0030092C" w:rsidRDefault="000341A4" w:rsidP="000341A4">
      <w:pPr>
        <w:pStyle w:val="Listenabsatz"/>
        <w:numPr>
          <w:ilvl w:val="0"/>
          <w:numId w:val="5"/>
        </w:numPr>
        <w:rPr>
          <w:rFonts w:cstheme="minorHAnsi"/>
        </w:rPr>
      </w:pPr>
      <w:r w:rsidRPr="0030092C">
        <w:rPr>
          <w:rFonts w:cstheme="minorHAnsi"/>
        </w:rPr>
        <w:t>6.000+ Wiley-Kursmaterial-Institutionen</w:t>
      </w:r>
    </w:p>
    <w:p w:rsidR="000341A4" w:rsidRPr="0030092C" w:rsidRDefault="000341A4" w:rsidP="000341A4">
      <w:pPr>
        <w:pStyle w:val="Listenabsatz"/>
        <w:numPr>
          <w:ilvl w:val="0"/>
          <w:numId w:val="5"/>
        </w:numPr>
        <w:rPr>
          <w:rFonts w:cstheme="minorHAnsi"/>
        </w:rPr>
      </w:pPr>
      <w:r w:rsidRPr="0030092C">
        <w:rPr>
          <w:rFonts w:cstheme="minorHAnsi"/>
        </w:rPr>
        <w:t>Mehr als 10.000 Wiley Forschungseinrichtungen</w:t>
      </w:r>
    </w:p>
    <w:p w:rsidR="000341A4" w:rsidRPr="0030092C" w:rsidRDefault="000341A4" w:rsidP="000341A4">
      <w:pPr>
        <w:pStyle w:val="Listenabsatz"/>
        <w:numPr>
          <w:ilvl w:val="0"/>
          <w:numId w:val="5"/>
        </w:numPr>
        <w:rPr>
          <w:rFonts w:cstheme="minorHAnsi"/>
        </w:rPr>
      </w:pPr>
      <w:r w:rsidRPr="0030092C">
        <w:rPr>
          <w:rFonts w:cstheme="minorHAnsi"/>
        </w:rPr>
        <w:t>Mehr als 1.000 Unternehmenspartner</w:t>
      </w:r>
    </w:p>
    <w:p w:rsidR="00517CA5" w:rsidRPr="0030092C" w:rsidRDefault="000341A4" w:rsidP="00875D60">
      <w:pPr>
        <w:rPr>
          <w:rFonts w:cstheme="minorHAnsi"/>
        </w:rPr>
      </w:pPr>
      <w:r w:rsidRPr="0030092C">
        <w:rPr>
          <w:rFonts w:cstheme="minorHAnsi"/>
        </w:rPr>
        <w:t xml:space="preserve">Wiley ist unter dem Namen Wiley-VCH in Deutschland mit mehr als 500 Mitarbeitern stark vertreten. In Deutschland veröffentlicht Wiley-VCH im Auftrag von mehr als 100 Gesellschaften, die 300.000 Mitglieder vertreten. Im Jahr 2019 werden bei Wiley Tausende von Arbeiten deutscher Forscher aus </w:t>
      </w:r>
      <w:r w:rsidR="00517CA5" w:rsidRPr="0030092C">
        <w:rPr>
          <w:rFonts w:cstheme="minorHAnsi"/>
        </w:rPr>
        <w:t>Projekt-DEAL-Institutionen veröffentlicht.</w:t>
      </w:r>
    </w:p>
    <w:p w:rsidR="00BB07EB" w:rsidRPr="0030092C" w:rsidRDefault="00BB07EB" w:rsidP="00875D60">
      <w:pPr>
        <w:rPr>
          <w:rFonts w:cstheme="minorHAnsi"/>
          <w:b/>
        </w:rPr>
      </w:pPr>
    </w:p>
    <w:p w:rsidR="00875D60" w:rsidRPr="0030092C" w:rsidRDefault="00875D60" w:rsidP="00875D60">
      <w:pPr>
        <w:rPr>
          <w:rFonts w:cstheme="minorHAnsi"/>
          <w:b/>
        </w:rPr>
      </w:pPr>
      <w:r w:rsidRPr="0030092C">
        <w:rPr>
          <w:rFonts w:cstheme="minorHAnsi"/>
          <w:b/>
        </w:rPr>
        <w:t>Projekt DEAL</w:t>
      </w:r>
    </w:p>
    <w:p w:rsidR="00BB07EB" w:rsidRPr="0030092C" w:rsidRDefault="00BB07EB" w:rsidP="00875D60">
      <w:pPr>
        <w:rPr>
          <w:rFonts w:cstheme="minorHAnsi"/>
        </w:rPr>
      </w:pPr>
      <w:r w:rsidRPr="0030092C">
        <w:rPr>
          <w:rFonts w:cstheme="minorHAnsi"/>
        </w:rPr>
        <w:t>Verhandlungsziele</w:t>
      </w:r>
    </w:p>
    <w:p w:rsidR="00BB07EB" w:rsidRPr="0030092C" w:rsidRDefault="00BB07EB" w:rsidP="00BB07EB">
      <w:pPr>
        <w:pStyle w:val="Listenabsatz"/>
        <w:numPr>
          <w:ilvl w:val="0"/>
          <w:numId w:val="7"/>
        </w:numPr>
        <w:spacing w:before="100" w:beforeAutospacing="1" w:after="100" w:afterAutospacing="1" w:line="240" w:lineRule="auto"/>
        <w:contextualSpacing w:val="0"/>
        <w:rPr>
          <w:rFonts w:cstheme="minorHAnsi"/>
        </w:rPr>
      </w:pPr>
      <w:r w:rsidRPr="0030092C">
        <w:rPr>
          <w:rFonts w:cstheme="minorHAnsi"/>
        </w:rPr>
        <w:t>Teilnehmereinrichtungen: alle zur Teilnahme an Allianz- und Nationallizenzen berechtigten Einrichtungen in Deutschland.</w:t>
      </w:r>
    </w:p>
    <w:p w:rsidR="00BB07EB" w:rsidRPr="0030092C" w:rsidRDefault="00BB07EB" w:rsidP="00BB07EB">
      <w:pPr>
        <w:pStyle w:val="Listenabsatz"/>
        <w:numPr>
          <w:ilvl w:val="0"/>
          <w:numId w:val="7"/>
        </w:numPr>
        <w:spacing w:before="100" w:beforeAutospacing="1" w:after="100" w:afterAutospacing="1" w:line="240" w:lineRule="auto"/>
        <w:contextualSpacing w:val="0"/>
        <w:rPr>
          <w:rFonts w:cstheme="minorHAnsi"/>
        </w:rPr>
      </w:pPr>
      <w:r w:rsidRPr="0030092C">
        <w:rPr>
          <w:rFonts w:cstheme="minorHAnsi"/>
        </w:rPr>
        <w:t>Die DEAL-Einrichtungen haben dauerhaften Volltextzugriff auf das gesamte Titel-Portfolio (E-Journals) der ausgewählten Verlage.</w:t>
      </w:r>
    </w:p>
    <w:p w:rsidR="00BB07EB" w:rsidRPr="0030092C" w:rsidRDefault="00BB07EB" w:rsidP="00BB07EB">
      <w:pPr>
        <w:pStyle w:val="Listenabsatz"/>
        <w:numPr>
          <w:ilvl w:val="0"/>
          <w:numId w:val="7"/>
        </w:numPr>
        <w:spacing w:before="100" w:beforeAutospacing="1" w:after="100" w:afterAutospacing="1" w:line="240" w:lineRule="auto"/>
        <w:contextualSpacing w:val="0"/>
        <w:rPr>
          <w:rFonts w:cstheme="minorHAnsi"/>
        </w:rPr>
      </w:pPr>
      <w:r w:rsidRPr="0030092C">
        <w:rPr>
          <w:rFonts w:cstheme="minorHAnsi"/>
        </w:rPr>
        <w:t>Alle Publikationen von Autorinnen und Autoren aus deutschen Einrichtungen werden automatisch Open Access geschaltet (CC-BY, inkl. Peer Review).</w:t>
      </w:r>
    </w:p>
    <w:p w:rsidR="00BB07EB" w:rsidRPr="0030092C" w:rsidRDefault="00BB07EB" w:rsidP="00BB07EB">
      <w:pPr>
        <w:pStyle w:val="Listenabsatz"/>
        <w:numPr>
          <w:ilvl w:val="0"/>
          <w:numId w:val="7"/>
        </w:numPr>
        <w:spacing w:before="100" w:beforeAutospacing="1" w:after="100" w:afterAutospacing="1" w:line="240" w:lineRule="auto"/>
        <w:contextualSpacing w:val="0"/>
        <w:rPr>
          <w:rFonts w:cstheme="minorHAnsi"/>
        </w:rPr>
      </w:pPr>
      <w:r w:rsidRPr="0030092C">
        <w:rPr>
          <w:rFonts w:cstheme="minorHAnsi"/>
        </w:rPr>
        <w:t>Angemessene Bepreisung nach einem einfachen, zukunftsorientierten Berechnungsmodell, das sich am Publikationsaufkommen orientiert.</w:t>
      </w:r>
    </w:p>
    <w:p w:rsidR="00BB07EB" w:rsidRPr="0030092C" w:rsidRDefault="00BB07EB" w:rsidP="00BB07EB">
      <w:pPr>
        <w:pStyle w:val="Listenabsatz"/>
        <w:numPr>
          <w:ilvl w:val="0"/>
          <w:numId w:val="7"/>
        </w:numPr>
        <w:rPr>
          <w:rFonts w:cstheme="minorHAnsi"/>
        </w:rPr>
      </w:pPr>
      <w:r w:rsidRPr="0030092C">
        <w:rPr>
          <w:rFonts w:cstheme="minorHAnsi"/>
        </w:rPr>
        <w:t>Im Rahmen des Projekts DEAL wird seit 2015 das Ziel verfolgt,</w:t>
      </w:r>
      <w:r w:rsidRPr="0030092C">
        <w:rPr>
          <w:rStyle w:val="apple-converted-space"/>
          <w:rFonts w:cstheme="minorHAnsi"/>
          <w:color w:val="333333"/>
        </w:rPr>
        <w:t> </w:t>
      </w:r>
      <w:r w:rsidRPr="0030092C">
        <w:rPr>
          <w:rFonts w:cstheme="minorHAnsi"/>
        </w:rPr>
        <w:t>bundesweite Lizenzverträge</w:t>
      </w:r>
      <w:r w:rsidRPr="0030092C">
        <w:rPr>
          <w:rStyle w:val="apple-converted-space"/>
          <w:rFonts w:cstheme="minorHAnsi"/>
          <w:color w:val="333333"/>
        </w:rPr>
        <w:t> </w:t>
      </w:r>
      <w:r w:rsidRPr="0030092C">
        <w:rPr>
          <w:rFonts w:cstheme="minorHAnsi"/>
        </w:rPr>
        <w:t>für das gesamte Portfolio elektronischer Zeitschriften (E-Journals) der drei weltweit größten Wissenschaftsverlage (Wiley, Springer Nature und Elsevier) abzuschließen und den schrittweisen Umstieg auf das Open Access Publizieren aktiv voranzutreiben. Projekt DEAL vertritt etwa 700 wissenschaftliche Einrichtungen in Deutschland (Universitäten, Hochschulen für angewandte Wissenschaften, Forschungseinrichtungen, Staats- und Regionalbibliotheken).</w:t>
      </w:r>
    </w:p>
    <w:p w:rsidR="0030092C" w:rsidRDefault="00BB07EB" w:rsidP="00BB07EB">
      <w:pPr>
        <w:rPr>
          <w:rFonts w:cstheme="minorHAnsi"/>
        </w:rPr>
      </w:pPr>
      <w:r w:rsidRPr="0030092C">
        <w:rPr>
          <w:rFonts w:cstheme="minorHAnsi"/>
        </w:rPr>
        <w:t>Auftraggeber für das Projekt ist die </w:t>
      </w:r>
      <w:hyperlink r:id="rId5" w:tgtFrame="_blank" w:history="1">
        <w:r w:rsidRPr="0030092C">
          <w:rPr>
            <w:rFonts w:cstheme="minorHAnsi"/>
          </w:rPr>
          <w:t>Allianz der deutschen Wissenschaftsorganisationen </w:t>
        </w:r>
      </w:hyperlink>
      <w:r w:rsidRPr="0030092C">
        <w:rPr>
          <w:rFonts w:cstheme="minorHAnsi"/>
        </w:rPr>
        <w:t xml:space="preserve">– vertreten durch </w:t>
      </w:r>
      <w:r w:rsidRPr="0030092C">
        <w:rPr>
          <w:rFonts w:cstheme="minorHAnsi"/>
          <w:lang w:eastAsia="de-DE"/>
        </w:rPr>
        <w:t>die </w:t>
      </w:r>
      <w:hyperlink r:id="rId6" w:tgtFrame="_blank" w:history="1">
        <w:r w:rsidRPr="0030092C">
          <w:rPr>
            <w:rFonts w:cstheme="minorHAnsi"/>
            <w:lang w:eastAsia="de-DE"/>
          </w:rPr>
          <w:t>Hochschulrektorenkonferenz</w:t>
        </w:r>
      </w:hyperlink>
      <w:r w:rsidRPr="0030092C">
        <w:rPr>
          <w:rFonts w:cstheme="minorHAnsi"/>
          <w:lang w:eastAsia="de-DE"/>
        </w:rPr>
        <w:t xml:space="preserve"> (HRK). </w:t>
      </w:r>
      <w:r w:rsidRPr="0030092C">
        <w:rPr>
          <w:rFonts w:cstheme="minorHAnsi"/>
        </w:rPr>
        <w:t xml:space="preserve">Sprecher der Verhandlungsgruppe mit einschlägigen Expertinnen und Experten aus Universitäten und aus außeruniversitären Einrichtungen ist Prof. Dr. Dr. h.c. Horst Hippler, ehemaliger Präsident der Hochschulrektorenkonferenz. Zur Vorbereitung und Umsetzung des Projektes hat die Allianz außerdem eine Projektgruppe unter der Leitung von </w:t>
      </w:r>
      <w:hyperlink r:id="rId7" w:tgtFrame="_blank" w:history="1">
        <w:r w:rsidRPr="0030092C">
          <w:rPr>
            <w:rFonts w:cstheme="minorHAnsi"/>
          </w:rPr>
          <w:t>Dr. Antje Kellersohn</w:t>
        </w:r>
      </w:hyperlink>
      <w:r w:rsidRPr="0030092C">
        <w:rPr>
          <w:rFonts w:cstheme="minorHAnsi"/>
        </w:rPr>
        <w:t xml:space="preserve">, Direktorin der Universitätsbibliothek Freiburg, und </w:t>
      </w:r>
      <w:hyperlink r:id="rId8" w:tgtFrame="_blank" w:history="1">
        <w:r w:rsidRPr="0030092C">
          <w:rPr>
            <w:rFonts w:cstheme="minorHAnsi"/>
          </w:rPr>
          <w:t>Frank Scholze</w:t>
        </w:r>
      </w:hyperlink>
      <w:r w:rsidRPr="0030092C">
        <w:rPr>
          <w:rFonts w:cstheme="minorHAnsi"/>
        </w:rPr>
        <w:t>, Direktor der KIT-Bibliothek Karlsruhe eingesetzt.</w:t>
      </w:r>
    </w:p>
    <w:p w:rsidR="0030092C" w:rsidRDefault="0030092C">
      <w:pPr>
        <w:rPr>
          <w:rFonts w:cstheme="minorHAnsi"/>
        </w:rPr>
      </w:pPr>
      <w:r>
        <w:rPr>
          <w:rFonts w:cstheme="minorHAnsi"/>
        </w:rPr>
        <w:br w:type="page"/>
      </w:r>
    </w:p>
    <w:p w:rsidR="00875D60" w:rsidRPr="0030092C" w:rsidRDefault="00912D62" w:rsidP="00875D60">
      <w:pPr>
        <w:rPr>
          <w:rFonts w:cstheme="minorHAnsi"/>
          <w:lang w:val="en-GB"/>
        </w:rPr>
      </w:pPr>
      <w:r w:rsidRPr="0030092C">
        <w:rPr>
          <w:rFonts w:cstheme="minorHAnsi"/>
          <w:b/>
          <w:lang w:val="en-GB"/>
        </w:rPr>
        <w:lastRenderedPageBreak/>
        <w:t xml:space="preserve">MPDL </w:t>
      </w:r>
      <w:r w:rsidR="00875D60" w:rsidRPr="0030092C">
        <w:rPr>
          <w:rFonts w:cstheme="minorHAnsi"/>
          <w:b/>
          <w:lang w:val="en-GB"/>
        </w:rPr>
        <w:t>Services GmbH</w:t>
      </w:r>
    </w:p>
    <w:p w:rsidR="00912D62" w:rsidRPr="0030092C" w:rsidRDefault="00912D62" w:rsidP="00912D62">
      <w:pPr>
        <w:pStyle w:val="Listenabsatz"/>
        <w:numPr>
          <w:ilvl w:val="0"/>
          <w:numId w:val="8"/>
        </w:numPr>
        <w:rPr>
          <w:rFonts w:cstheme="minorHAnsi"/>
        </w:rPr>
      </w:pPr>
      <w:r w:rsidRPr="0030092C">
        <w:rPr>
          <w:rFonts w:cstheme="minorHAnsi"/>
        </w:rPr>
        <w:t>100%-Tochtergesellschaft der Max-Planck-Gesellschaft e.V.</w:t>
      </w:r>
    </w:p>
    <w:p w:rsidR="001662F8" w:rsidRPr="0030092C" w:rsidRDefault="001662F8" w:rsidP="00912D62">
      <w:pPr>
        <w:pStyle w:val="Listenabsatz"/>
        <w:numPr>
          <w:ilvl w:val="0"/>
          <w:numId w:val="8"/>
        </w:numPr>
        <w:rPr>
          <w:rFonts w:cstheme="minorHAnsi"/>
        </w:rPr>
      </w:pPr>
      <w:r w:rsidRPr="0030092C">
        <w:rPr>
          <w:rFonts w:cstheme="minorHAnsi"/>
        </w:rPr>
        <w:t>Rechtsträgerin für das Projekt DEAL im Vertrag mit Wiley</w:t>
      </w:r>
    </w:p>
    <w:p w:rsidR="00912D62" w:rsidRPr="0030092C" w:rsidRDefault="00912D62" w:rsidP="001662F8">
      <w:pPr>
        <w:pStyle w:val="Listenabsatz"/>
        <w:numPr>
          <w:ilvl w:val="0"/>
          <w:numId w:val="8"/>
        </w:numPr>
        <w:rPr>
          <w:rFonts w:cstheme="minorHAnsi"/>
        </w:rPr>
      </w:pPr>
      <w:r w:rsidRPr="0030092C">
        <w:rPr>
          <w:rFonts w:cstheme="minorHAnsi"/>
        </w:rPr>
        <w:t xml:space="preserve">Interim-Struktur für die </w:t>
      </w:r>
      <w:r w:rsidR="001662F8" w:rsidRPr="0030092C">
        <w:rPr>
          <w:rFonts w:cstheme="minorHAnsi"/>
        </w:rPr>
        <w:t xml:space="preserve">operative </w:t>
      </w:r>
      <w:r w:rsidRPr="0030092C">
        <w:rPr>
          <w:rFonts w:cstheme="minorHAnsi"/>
        </w:rPr>
        <w:t xml:space="preserve">Anfangsphase von DEAL, </w:t>
      </w:r>
      <w:r w:rsidR="00C34386" w:rsidRPr="0030092C">
        <w:rPr>
          <w:rFonts w:cstheme="minorHAnsi"/>
        </w:rPr>
        <w:t>wird</w:t>
      </w:r>
      <w:r w:rsidRPr="0030092C">
        <w:rPr>
          <w:rFonts w:cstheme="minorHAnsi"/>
        </w:rPr>
        <w:t xml:space="preserve"> nach Etablierung von DEAL durch eine dauerhafte Struktur ersetzt werden</w:t>
      </w:r>
    </w:p>
    <w:p w:rsidR="00912D62" w:rsidRPr="0030092C" w:rsidRDefault="00912D62" w:rsidP="001662F8">
      <w:pPr>
        <w:rPr>
          <w:rFonts w:cstheme="minorHAnsi"/>
        </w:rPr>
      </w:pPr>
      <w:r w:rsidRPr="0030092C">
        <w:rPr>
          <w:rFonts w:cstheme="minorHAnsi"/>
        </w:rPr>
        <w:t>Die MPDL Services GmbH wird in enger Abstimmung mit dem Projekt DEAL und im Auftrag der Allianz der deutschen Wissenschaftsorganisationen die operative Umsetzung des Vertrages mit Wiley für das DEAL Projekt übernehmen. Sie wird die Abwicklung des Vertrages auf der Seite der deutschen Wissenschaftseinrichtungen übernehmen</w:t>
      </w:r>
      <w:r w:rsidR="001662F8" w:rsidRPr="0030092C">
        <w:rPr>
          <w:rFonts w:cstheme="minorHAnsi"/>
        </w:rPr>
        <w:t xml:space="preserve"> und die Ansprechpartnerin für die Wissenschaftseinrichtungen für alle Fragen aus dem Vertrag sein.</w:t>
      </w:r>
    </w:p>
    <w:p w:rsidR="007C7A98" w:rsidRPr="0030092C" w:rsidRDefault="007C7A98" w:rsidP="007C7A98">
      <w:pPr>
        <w:rPr>
          <w:rFonts w:cstheme="minorHAnsi"/>
        </w:rPr>
      </w:pPr>
      <w:r w:rsidRPr="0030092C">
        <w:rPr>
          <w:rFonts w:cstheme="minorHAnsi"/>
        </w:rPr>
        <w:t>Die Max Planck Digital Library (MPDL) ist eine dezentrale Struktur der MPG und dient der einheitlichen Literaturversorgung für alle Max-Planck-Institute.</w:t>
      </w:r>
    </w:p>
    <w:p w:rsidR="00912D62" w:rsidRPr="0030092C" w:rsidRDefault="00912D62" w:rsidP="00875D60">
      <w:pPr>
        <w:rPr>
          <w:rFonts w:cstheme="minorHAnsi"/>
        </w:rPr>
      </w:pPr>
    </w:p>
    <w:p w:rsidR="001662F8" w:rsidRPr="0030092C" w:rsidRDefault="001662F8" w:rsidP="001662F8">
      <w:pPr>
        <w:rPr>
          <w:rFonts w:cstheme="minorHAnsi"/>
          <w:b/>
          <w:lang w:val="en-GB"/>
        </w:rPr>
      </w:pPr>
      <w:r w:rsidRPr="0030092C">
        <w:rPr>
          <w:rFonts w:cstheme="minorHAnsi"/>
          <w:b/>
          <w:lang w:val="en-GB"/>
        </w:rPr>
        <w:t>Max</w:t>
      </w:r>
      <w:r w:rsidR="007C7A98" w:rsidRPr="0030092C">
        <w:rPr>
          <w:rFonts w:cstheme="minorHAnsi"/>
          <w:b/>
          <w:lang w:val="en-GB"/>
        </w:rPr>
        <w:t>-</w:t>
      </w:r>
      <w:r w:rsidRPr="0030092C">
        <w:rPr>
          <w:rFonts w:cstheme="minorHAnsi"/>
          <w:b/>
          <w:lang w:val="en-GB"/>
        </w:rPr>
        <w:t>Planck</w:t>
      </w:r>
      <w:r w:rsidR="007C7A98" w:rsidRPr="0030092C">
        <w:rPr>
          <w:rFonts w:cstheme="minorHAnsi"/>
          <w:b/>
          <w:lang w:val="en-GB"/>
        </w:rPr>
        <w:t>-</w:t>
      </w:r>
      <w:r w:rsidR="00910D28" w:rsidRPr="0030092C">
        <w:rPr>
          <w:rFonts w:cstheme="minorHAnsi"/>
          <w:b/>
          <w:lang w:val="en-GB"/>
        </w:rPr>
        <w:t>Gesellschaft</w:t>
      </w:r>
    </w:p>
    <w:p w:rsidR="007C7A98" w:rsidRPr="0030092C" w:rsidRDefault="007C7A98" w:rsidP="00910D28">
      <w:pPr>
        <w:pStyle w:val="Listenabsatz"/>
        <w:numPr>
          <w:ilvl w:val="0"/>
          <w:numId w:val="9"/>
        </w:numPr>
        <w:rPr>
          <w:rFonts w:cstheme="minorHAnsi"/>
        </w:rPr>
      </w:pPr>
      <w:r w:rsidRPr="0030092C">
        <w:rPr>
          <w:rFonts w:cstheme="minorHAnsi"/>
        </w:rPr>
        <w:t>Gegründet 1948 in der Nachfolge der Kaiser-Wilhelm-Gesellschaft</w:t>
      </w:r>
    </w:p>
    <w:p w:rsidR="007C7A98" w:rsidRPr="0030092C" w:rsidRDefault="007C7A98" w:rsidP="00910D28">
      <w:pPr>
        <w:pStyle w:val="Listenabsatz"/>
        <w:numPr>
          <w:ilvl w:val="0"/>
          <w:numId w:val="9"/>
        </w:numPr>
        <w:rPr>
          <w:rFonts w:cstheme="minorHAnsi"/>
        </w:rPr>
      </w:pPr>
      <w:r w:rsidRPr="0030092C">
        <w:rPr>
          <w:rFonts w:cstheme="minorHAnsi"/>
        </w:rPr>
        <w:t>18 Nobelpreisträger; letzter Nobelpreis 2014 an Stefan Hell</w:t>
      </w:r>
    </w:p>
    <w:p w:rsidR="007C7A98" w:rsidRPr="0030092C" w:rsidRDefault="007C7A98" w:rsidP="00910D28">
      <w:pPr>
        <w:pStyle w:val="Listenabsatz"/>
        <w:numPr>
          <w:ilvl w:val="0"/>
          <w:numId w:val="9"/>
        </w:numPr>
        <w:rPr>
          <w:rFonts w:cstheme="minorHAnsi"/>
        </w:rPr>
      </w:pPr>
      <w:r w:rsidRPr="0030092C">
        <w:rPr>
          <w:rFonts w:cstheme="minorHAnsi"/>
        </w:rPr>
        <w:t>86 Forschungseinrichtungen, davon 5 im Ausland</w:t>
      </w:r>
    </w:p>
    <w:p w:rsidR="007C7A98" w:rsidRPr="0030092C" w:rsidRDefault="007C7A98" w:rsidP="00910D28">
      <w:pPr>
        <w:pStyle w:val="Listenabsatz"/>
        <w:numPr>
          <w:ilvl w:val="0"/>
          <w:numId w:val="9"/>
        </w:numPr>
        <w:rPr>
          <w:rFonts w:cstheme="minorHAnsi"/>
        </w:rPr>
      </w:pPr>
      <w:r w:rsidRPr="0030092C">
        <w:rPr>
          <w:rFonts w:cstheme="minorHAnsi"/>
        </w:rPr>
        <w:t>Forschung im Bereich der Natur-, Lebens- und Geisteswissenschaften</w:t>
      </w:r>
    </w:p>
    <w:p w:rsidR="007C7A98" w:rsidRPr="0030092C" w:rsidRDefault="007C7A98" w:rsidP="00910D28">
      <w:pPr>
        <w:pStyle w:val="Listenabsatz"/>
        <w:numPr>
          <w:ilvl w:val="0"/>
          <w:numId w:val="9"/>
        </w:numPr>
        <w:rPr>
          <w:rFonts w:cstheme="minorHAnsi"/>
        </w:rPr>
      </w:pPr>
      <w:r w:rsidRPr="0030092C">
        <w:rPr>
          <w:rFonts w:cstheme="minorHAnsi"/>
        </w:rPr>
        <w:t>23.000 Mitarbeiterinnen und Mitarbeiter; davon 8000 Nachwuchswissenschaftler aus mehr als 120 Ländern</w:t>
      </w:r>
    </w:p>
    <w:p w:rsidR="007C7A98" w:rsidRPr="0030092C" w:rsidRDefault="007C7A98" w:rsidP="00910D28">
      <w:pPr>
        <w:pStyle w:val="Listenabsatz"/>
        <w:numPr>
          <w:ilvl w:val="0"/>
          <w:numId w:val="9"/>
        </w:numPr>
        <w:rPr>
          <w:rFonts w:cstheme="minorHAnsi"/>
        </w:rPr>
      </w:pPr>
      <w:r w:rsidRPr="0030092C">
        <w:rPr>
          <w:rFonts w:cstheme="minorHAnsi"/>
        </w:rPr>
        <w:t>1,8 Mrd. jährliches Budget</w:t>
      </w:r>
    </w:p>
    <w:p w:rsidR="007C7A98" w:rsidRPr="0030092C" w:rsidRDefault="007C7A98" w:rsidP="007C7A98">
      <w:pPr>
        <w:pStyle w:val="Listenabsatz"/>
        <w:numPr>
          <w:ilvl w:val="0"/>
          <w:numId w:val="9"/>
        </w:numPr>
        <w:rPr>
          <w:rFonts w:cstheme="minorHAnsi"/>
          <w:lang w:val="en-US"/>
        </w:rPr>
      </w:pPr>
      <w:r w:rsidRPr="0030092C">
        <w:rPr>
          <w:rFonts w:cstheme="minorHAnsi"/>
          <w:lang w:val="en-US"/>
        </w:rPr>
        <w:t>76 Highly Cited Researchers (</w:t>
      </w:r>
      <w:proofErr w:type="spellStart"/>
      <w:r w:rsidRPr="0030092C">
        <w:rPr>
          <w:rFonts w:cstheme="minorHAnsi"/>
          <w:lang w:val="en-US"/>
        </w:rPr>
        <w:t>Clarivate</w:t>
      </w:r>
      <w:proofErr w:type="spellEnd"/>
      <w:r w:rsidRPr="0030092C">
        <w:rPr>
          <w:rFonts w:cstheme="minorHAnsi"/>
          <w:lang w:val="en-US"/>
        </w:rPr>
        <w:t xml:space="preserve"> Analytics)</w:t>
      </w:r>
    </w:p>
    <w:p w:rsidR="007C7A98" w:rsidRPr="0030092C" w:rsidRDefault="007C7A98" w:rsidP="0030092C">
      <w:pPr>
        <w:pStyle w:val="Listenabsatz"/>
        <w:numPr>
          <w:ilvl w:val="0"/>
          <w:numId w:val="9"/>
        </w:numPr>
        <w:rPr>
          <w:rFonts w:cstheme="minorHAnsi"/>
        </w:rPr>
      </w:pPr>
      <w:r w:rsidRPr="0030092C">
        <w:rPr>
          <w:rFonts w:cstheme="minorHAnsi"/>
        </w:rPr>
        <w:t>unter den TOP 25 der Top Global Innovators (Thomson Reuters)</w:t>
      </w:r>
      <w:bookmarkStart w:id="0" w:name="_GoBack"/>
      <w:bookmarkEnd w:id="0"/>
    </w:p>
    <w:sectPr w:rsidR="007C7A98" w:rsidRPr="003009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4A4"/>
    <w:multiLevelType w:val="hybridMultilevel"/>
    <w:tmpl w:val="FA6C9F8E"/>
    <w:lvl w:ilvl="0" w:tplc="0F2A0DF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136031"/>
    <w:multiLevelType w:val="hybridMultilevel"/>
    <w:tmpl w:val="FA460A72"/>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DEB4DC8"/>
    <w:multiLevelType w:val="hybridMultilevel"/>
    <w:tmpl w:val="72BE7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0D3159"/>
    <w:multiLevelType w:val="hybridMultilevel"/>
    <w:tmpl w:val="DC067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BD2FB7"/>
    <w:multiLevelType w:val="hybridMultilevel"/>
    <w:tmpl w:val="6206E5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444C8E"/>
    <w:multiLevelType w:val="hybridMultilevel"/>
    <w:tmpl w:val="3F5E4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7E6D14"/>
    <w:multiLevelType w:val="hybridMultilevel"/>
    <w:tmpl w:val="EBD00AB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7CCB4C84"/>
    <w:multiLevelType w:val="hybridMultilevel"/>
    <w:tmpl w:val="41549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2"/>
  </w:num>
  <w:num w:numId="5">
    <w:abstractNumId w:val="1"/>
  </w:num>
  <w:num w:numId="6">
    <w:abstractNumId w:val="3"/>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441"/>
    <w:rsid w:val="000341A4"/>
    <w:rsid w:val="00053014"/>
    <w:rsid w:val="000A4D3B"/>
    <w:rsid w:val="000F58D6"/>
    <w:rsid w:val="00116134"/>
    <w:rsid w:val="001662F8"/>
    <w:rsid w:val="001F61F1"/>
    <w:rsid w:val="00254E3B"/>
    <w:rsid w:val="0030092C"/>
    <w:rsid w:val="00337986"/>
    <w:rsid w:val="003C2DC9"/>
    <w:rsid w:val="003F2EB2"/>
    <w:rsid w:val="004326C5"/>
    <w:rsid w:val="004A2441"/>
    <w:rsid w:val="00507E00"/>
    <w:rsid w:val="00517CA5"/>
    <w:rsid w:val="005459E8"/>
    <w:rsid w:val="005F790E"/>
    <w:rsid w:val="006E1527"/>
    <w:rsid w:val="007222B5"/>
    <w:rsid w:val="00745CF4"/>
    <w:rsid w:val="0075419B"/>
    <w:rsid w:val="007C7A98"/>
    <w:rsid w:val="007F1963"/>
    <w:rsid w:val="00875D60"/>
    <w:rsid w:val="008A34F7"/>
    <w:rsid w:val="008B43E7"/>
    <w:rsid w:val="00910D28"/>
    <w:rsid w:val="00912D62"/>
    <w:rsid w:val="009222E2"/>
    <w:rsid w:val="00996940"/>
    <w:rsid w:val="009F40BB"/>
    <w:rsid w:val="00A82D01"/>
    <w:rsid w:val="00B6008A"/>
    <w:rsid w:val="00BB07EB"/>
    <w:rsid w:val="00C34386"/>
    <w:rsid w:val="00C475CA"/>
    <w:rsid w:val="00CA0CC5"/>
    <w:rsid w:val="00E36F00"/>
    <w:rsid w:val="00E407F2"/>
    <w:rsid w:val="00E46F7A"/>
    <w:rsid w:val="00E620F3"/>
    <w:rsid w:val="00E62F3C"/>
    <w:rsid w:val="00EE2DF5"/>
    <w:rsid w:val="00F133D6"/>
    <w:rsid w:val="00F964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1FA3"/>
  <w15:chartTrackingRefBased/>
  <w15:docId w15:val="{234F815C-F5CB-462C-AD71-5C57F934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2441"/>
    <w:pPr>
      <w:ind w:left="720"/>
      <w:contextualSpacing/>
    </w:pPr>
  </w:style>
  <w:style w:type="character" w:styleId="Kommentarzeichen">
    <w:name w:val="annotation reference"/>
    <w:basedOn w:val="Absatz-Standardschriftart"/>
    <w:uiPriority w:val="99"/>
    <w:semiHidden/>
    <w:unhideWhenUsed/>
    <w:rsid w:val="00C475CA"/>
    <w:rPr>
      <w:sz w:val="16"/>
      <w:szCs w:val="16"/>
    </w:rPr>
  </w:style>
  <w:style w:type="paragraph" w:styleId="Kommentartext">
    <w:name w:val="annotation text"/>
    <w:basedOn w:val="Standard"/>
    <w:link w:val="KommentartextZchn"/>
    <w:uiPriority w:val="99"/>
    <w:semiHidden/>
    <w:unhideWhenUsed/>
    <w:rsid w:val="00C475CA"/>
    <w:pPr>
      <w:spacing w:after="200" w:line="240" w:lineRule="auto"/>
    </w:pPr>
    <w:rPr>
      <w:sz w:val="20"/>
      <w:szCs w:val="20"/>
      <w:lang w:val="en-US"/>
    </w:rPr>
  </w:style>
  <w:style w:type="character" w:customStyle="1" w:styleId="KommentartextZchn">
    <w:name w:val="Kommentartext Zchn"/>
    <w:basedOn w:val="Absatz-Standardschriftart"/>
    <w:link w:val="Kommentartext"/>
    <w:uiPriority w:val="99"/>
    <w:semiHidden/>
    <w:rsid w:val="00C475CA"/>
    <w:rPr>
      <w:sz w:val="20"/>
      <w:szCs w:val="20"/>
      <w:lang w:val="en-US"/>
    </w:rPr>
  </w:style>
  <w:style w:type="paragraph" w:styleId="Sprechblasentext">
    <w:name w:val="Balloon Text"/>
    <w:basedOn w:val="Standard"/>
    <w:link w:val="SprechblasentextZchn"/>
    <w:uiPriority w:val="99"/>
    <w:semiHidden/>
    <w:unhideWhenUsed/>
    <w:rsid w:val="00C475C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75CA"/>
    <w:rPr>
      <w:rFonts w:ascii="Segoe UI" w:hAnsi="Segoe UI" w:cs="Segoe UI"/>
      <w:sz w:val="18"/>
      <w:szCs w:val="18"/>
    </w:rPr>
  </w:style>
  <w:style w:type="character" w:styleId="Hyperlink">
    <w:name w:val="Hyperlink"/>
    <w:basedOn w:val="Absatz-Standardschriftart"/>
    <w:uiPriority w:val="99"/>
    <w:unhideWhenUsed/>
    <w:rsid w:val="00E62F3C"/>
    <w:rPr>
      <w:color w:val="0563C1" w:themeColor="hyperlink"/>
      <w:u w:val="single"/>
    </w:rPr>
  </w:style>
  <w:style w:type="character" w:customStyle="1" w:styleId="apple-converted-space">
    <w:name w:val="apple-converted-space"/>
    <w:basedOn w:val="Absatz-Standardschriftart"/>
    <w:rsid w:val="00BB07EB"/>
  </w:style>
  <w:style w:type="character" w:styleId="Fett">
    <w:name w:val="Strong"/>
    <w:basedOn w:val="Absatz-Standardschriftart"/>
    <w:uiPriority w:val="22"/>
    <w:qFormat/>
    <w:rsid w:val="00BB0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2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othek.kit.edu/cms/mitarbeiter_107.php" TargetMode="External"/><Relationship Id="rId3" Type="http://schemas.openxmlformats.org/officeDocument/2006/relationships/settings" Target="settings.xml"/><Relationship Id="rId7" Type="http://schemas.openxmlformats.org/officeDocument/2006/relationships/hyperlink" Target="https://www.ub.uni-freiburg.de/kontakt/ansprechpersonen/dr-antje-kellersoh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rk.de" TargetMode="External"/><Relationship Id="rId5" Type="http://schemas.openxmlformats.org/officeDocument/2006/relationships/hyperlink" Target="https://www.allianzinitiative.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3513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Handermann, Franz</cp:lastModifiedBy>
  <cp:revision>3</cp:revision>
  <cp:lastPrinted>2019-01-11T10:34:00Z</cp:lastPrinted>
  <dcterms:created xsi:type="dcterms:W3CDTF">2019-01-15T11:08:00Z</dcterms:created>
  <dcterms:modified xsi:type="dcterms:W3CDTF">2019-01-15T11:23:00Z</dcterms:modified>
</cp:coreProperties>
</file>